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E1" w:rsidRPr="00692A85" w:rsidRDefault="005158F8" w:rsidP="005158F8">
      <w:pPr>
        <w:pStyle w:val="Titre1"/>
        <w:jc w:val="center"/>
        <w:rPr>
          <w:rFonts w:asciiTheme="minorHAnsi" w:hAnsiTheme="minorHAnsi" w:cstheme="minorHAnsi"/>
          <w:b/>
          <w:color w:val="auto"/>
          <w:sz w:val="24"/>
          <w:szCs w:val="20"/>
        </w:rPr>
      </w:pPr>
      <w:r w:rsidRPr="00692A85">
        <w:rPr>
          <w:rFonts w:asciiTheme="minorHAnsi" w:hAnsiTheme="minorHAnsi" w:cstheme="minorHAnsi"/>
          <w:b/>
          <w:color w:val="auto"/>
          <w:sz w:val="24"/>
          <w:szCs w:val="20"/>
        </w:rPr>
        <w:t>Présentation du projet de thèse pour la bourse Paris-Région PhD</w:t>
      </w:r>
    </w:p>
    <w:p w:rsidR="005158F8" w:rsidRPr="00965FE5" w:rsidRDefault="005158F8" w:rsidP="005158F8">
      <w:pPr>
        <w:rPr>
          <w:rFonts w:cstheme="minorHAnsi"/>
          <w:sz w:val="20"/>
          <w:szCs w:val="20"/>
          <w:u w:val="single"/>
        </w:rPr>
      </w:pPr>
      <w:r w:rsidRPr="00965FE5">
        <w:rPr>
          <w:rFonts w:cstheme="minorHAnsi"/>
          <w:sz w:val="20"/>
          <w:szCs w:val="20"/>
          <w:u w:val="single"/>
        </w:rPr>
        <w:t>Partenaires du proje</w:t>
      </w:r>
      <w:r w:rsidRPr="00F02979">
        <w:rPr>
          <w:rFonts w:cstheme="minorHAnsi"/>
          <w:sz w:val="20"/>
          <w:szCs w:val="20"/>
          <w:u w:val="single"/>
        </w:rPr>
        <w:t>t</w:t>
      </w:r>
      <w:r w:rsidRPr="00F02979">
        <w:rPr>
          <w:rFonts w:cstheme="minorHAnsi"/>
          <w:sz w:val="20"/>
          <w:szCs w:val="20"/>
        </w:rPr>
        <w:t> </w:t>
      </w:r>
      <w:r w:rsidRPr="00965FE5">
        <w:rPr>
          <w:rFonts w:cstheme="minorHAnsi"/>
          <w:sz w:val="20"/>
          <w:szCs w:val="20"/>
        </w:rPr>
        <w:t xml:space="preserve">: Centre Borelli, groupe ORPEA, </w:t>
      </w:r>
      <w:proofErr w:type="spellStart"/>
      <w:r w:rsidRPr="00965FE5">
        <w:rPr>
          <w:rFonts w:cstheme="minorHAnsi"/>
          <w:sz w:val="20"/>
          <w:szCs w:val="20"/>
        </w:rPr>
        <w:t>Gérond’if</w:t>
      </w:r>
      <w:proofErr w:type="spellEnd"/>
      <w:r w:rsidRPr="00965FE5">
        <w:rPr>
          <w:rFonts w:cstheme="minorHAnsi"/>
          <w:sz w:val="20"/>
          <w:szCs w:val="20"/>
        </w:rPr>
        <w:t xml:space="preserve"> – </w:t>
      </w:r>
      <w:proofErr w:type="spellStart"/>
      <w:r w:rsidRPr="00965FE5">
        <w:rPr>
          <w:rFonts w:cstheme="minorHAnsi"/>
          <w:sz w:val="20"/>
          <w:szCs w:val="20"/>
        </w:rPr>
        <w:t>Gérontopôle</w:t>
      </w:r>
      <w:proofErr w:type="spellEnd"/>
      <w:r w:rsidRPr="00965FE5">
        <w:rPr>
          <w:rFonts w:cstheme="minorHAnsi"/>
          <w:sz w:val="20"/>
          <w:szCs w:val="20"/>
        </w:rPr>
        <w:t xml:space="preserve"> d’Île- de-France</w:t>
      </w:r>
    </w:p>
    <w:p w:rsidR="005158F8" w:rsidRPr="00965FE5" w:rsidRDefault="005158F8" w:rsidP="005158F8">
      <w:pPr>
        <w:rPr>
          <w:rFonts w:cstheme="minorHAnsi"/>
          <w:sz w:val="20"/>
          <w:szCs w:val="20"/>
        </w:rPr>
      </w:pPr>
      <w:r w:rsidRPr="00965FE5">
        <w:rPr>
          <w:rFonts w:cstheme="minorHAnsi"/>
          <w:sz w:val="20"/>
          <w:szCs w:val="20"/>
          <w:u w:val="single"/>
        </w:rPr>
        <w:t>Laboratoire d’accueil</w:t>
      </w:r>
      <w:r w:rsidRPr="00965FE5">
        <w:rPr>
          <w:rFonts w:cstheme="minorHAnsi"/>
          <w:sz w:val="20"/>
          <w:szCs w:val="20"/>
        </w:rPr>
        <w:t> :  UMR 9010 - Centre Borelli (CNRS, Ecole normale supérieure Paris-Saclay, SSA, Université de Paris, Inserm)</w:t>
      </w:r>
    </w:p>
    <w:p w:rsidR="005158F8" w:rsidRPr="00965FE5" w:rsidRDefault="005158F8" w:rsidP="00497783">
      <w:pPr>
        <w:spacing w:after="0"/>
        <w:rPr>
          <w:rFonts w:cstheme="minorHAnsi"/>
          <w:sz w:val="20"/>
          <w:szCs w:val="20"/>
        </w:rPr>
      </w:pPr>
      <w:r w:rsidRPr="00965FE5">
        <w:rPr>
          <w:rFonts w:cstheme="minorHAnsi"/>
          <w:sz w:val="20"/>
          <w:szCs w:val="20"/>
          <w:u w:val="single"/>
        </w:rPr>
        <w:t>Directeur de thèse </w:t>
      </w:r>
      <w:r w:rsidRPr="00965FE5">
        <w:rPr>
          <w:rFonts w:cstheme="minorHAnsi"/>
          <w:sz w:val="20"/>
          <w:szCs w:val="20"/>
        </w:rPr>
        <w:t>: Dr Damien Ricard (MD-PhD) du Centre Borelli</w:t>
      </w:r>
    </w:p>
    <w:p w:rsidR="005158F8" w:rsidRDefault="005158F8" w:rsidP="00497783">
      <w:pPr>
        <w:spacing w:after="0"/>
        <w:rPr>
          <w:rFonts w:cstheme="minorHAnsi"/>
          <w:sz w:val="20"/>
          <w:szCs w:val="20"/>
        </w:rPr>
      </w:pPr>
      <w:r w:rsidRPr="00965FE5">
        <w:rPr>
          <w:rFonts w:cstheme="minorHAnsi"/>
          <w:sz w:val="20"/>
          <w:szCs w:val="20"/>
          <w:u w:val="single"/>
        </w:rPr>
        <w:t>Co-encadrement</w:t>
      </w:r>
      <w:r w:rsidRPr="00965FE5">
        <w:rPr>
          <w:rFonts w:cstheme="minorHAnsi"/>
          <w:sz w:val="20"/>
          <w:szCs w:val="20"/>
        </w:rPr>
        <w:t xml:space="preserve"> : Dr Flavien </w:t>
      </w:r>
      <w:proofErr w:type="spellStart"/>
      <w:r w:rsidRPr="00965FE5">
        <w:rPr>
          <w:rFonts w:cstheme="minorHAnsi"/>
          <w:sz w:val="20"/>
          <w:szCs w:val="20"/>
        </w:rPr>
        <w:t>Quijoux</w:t>
      </w:r>
      <w:proofErr w:type="spellEnd"/>
      <w:r w:rsidRPr="00965FE5">
        <w:rPr>
          <w:rFonts w:cstheme="minorHAnsi"/>
          <w:sz w:val="20"/>
          <w:szCs w:val="20"/>
        </w:rPr>
        <w:t xml:space="preserve"> (PT-PhD) du groupe ORPEA</w:t>
      </w:r>
    </w:p>
    <w:p w:rsidR="00497783" w:rsidRPr="00965FE5" w:rsidRDefault="00497783" w:rsidP="00497783">
      <w:pPr>
        <w:spacing w:after="0"/>
        <w:rPr>
          <w:rFonts w:cstheme="minorHAnsi"/>
          <w:sz w:val="20"/>
          <w:szCs w:val="20"/>
        </w:rPr>
      </w:pPr>
    </w:p>
    <w:p w:rsidR="005158F8" w:rsidRPr="00965FE5" w:rsidRDefault="005158F8" w:rsidP="005158F8">
      <w:pPr>
        <w:rPr>
          <w:rFonts w:cstheme="minorHAnsi"/>
          <w:sz w:val="20"/>
          <w:szCs w:val="20"/>
        </w:rPr>
      </w:pPr>
      <w:r w:rsidRPr="00965FE5">
        <w:rPr>
          <w:rFonts w:cstheme="minorHAnsi"/>
          <w:sz w:val="20"/>
          <w:szCs w:val="20"/>
          <w:u w:val="single"/>
        </w:rPr>
        <w:t>Ecole doctorale</w:t>
      </w:r>
      <w:r w:rsidRPr="00965FE5">
        <w:rPr>
          <w:rFonts w:cstheme="minorHAnsi"/>
          <w:sz w:val="20"/>
          <w:szCs w:val="20"/>
        </w:rPr>
        <w:t> : ED 158 – Cerveau, Cognition, Comportement</w:t>
      </w:r>
    </w:p>
    <w:p w:rsidR="005158F8" w:rsidRPr="00965FE5" w:rsidRDefault="005158F8" w:rsidP="005158F8">
      <w:pPr>
        <w:rPr>
          <w:rFonts w:cstheme="minorHAnsi"/>
          <w:sz w:val="20"/>
          <w:szCs w:val="20"/>
        </w:rPr>
      </w:pPr>
      <w:r w:rsidRPr="00965FE5">
        <w:rPr>
          <w:rFonts w:cstheme="minorHAnsi"/>
          <w:b/>
          <w:sz w:val="20"/>
          <w:szCs w:val="20"/>
        </w:rPr>
        <w:t>Intitulé du sujet de thèse</w:t>
      </w:r>
      <w:r w:rsidRPr="00965FE5">
        <w:rPr>
          <w:rFonts w:cstheme="minorHAnsi"/>
          <w:sz w:val="20"/>
          <w:szCs w:val="20"/>
        </w:rPr>
        <w:t xml:space="preserve"> : </w:t>
      </w:r>
    </w:p>
    <w:tbl>
      <w:tblPr>
        <w:tblStyle w:val="Grilledutableau"/>
        <w:tblW w:w="0" w:type="auto"/>
        <w:tblLook w:val="04A0" w:firstRow="1" w:lastRow="0" w:firstColumn="1" w:lastColumn="0" w:noHBand="0" w:noVBand="1"/>
      </w:tblPr>
      <w:tblGrid>
        <w:gridCol w:w="9062"/>
      </w:tblGrid>
      <w:tr w:rsidR="00965FE5" w:rsidRPr="00965FE5" w:rsidTr="00965FE5">
        <w:tc>
          <w:tcPr>
            <w:tcW w:w="9062" w:type="dxa"/>
          </w:tcPr>
          <w:p w:rsidR="00965FE5" w:rsidRPr="00965FE5" w:rsidRDefault="00965FE5" w:rsidP="004D6D09">
            <w:pPr>
              <w:jc w:val="center"/>
              <w:rPr>
                <w:rFonts w:cstheme="minorHAnsi"/>
                <w:sz w:val="20"/>
                <w:szCs w:val="20"/>
              </w:rPr>
            </w:pPr>
            <w:proofErr w:type="spellStart"/>
            <w:r w:rsidRPr="00965FE5">
              <w:rPr>
                <w:rFonts w:cstheme="minorHAnsi"/>
                <w:sz w:val="20"/>
                <w:szCs w:val="20"/>
              </w:rPr>
              <w:t>Postadychute</w:t>
            </w:r>
            <w:proofErr w:type="spellEnd"/>
            <w:r>
              <w:rPr>
                <w:rFonts w:cstheme="minorHAnsi"/>
                <w:sz w:val="20"/>
                <w:szCs w:val="20"/>
              </w:rPr>
              <w:t>-</w:t>
            </w:r>
            <w:r w:rsidRPr="00965FE5">
              <w:rPr>
                <w:rFonts w:cstheme="minorHAnsi"/>
                <w:sz w:val="20"/>
                <w:szCs w:val="20"/>
              </w:rPr>
              <w:t>AG, étude des éléments posturographiques statiques et dynamiques prédictifs de la chute de la personne âgée en établissement</w:t>
            </w:r>
          </w:p>
        </w:tc>
      </w:tr>
    </w:tbl>
    <w:p w:rsidR="005158F8" w:rsidRPr="00965FE5" w:rsidRDefault="005158F8" w:rsidP="005158F8">
      <w:pPr>
        <w:rPr>
          <w:rFonts w:cstheme="minorHAnsi"/>
          <w:sz w:val="20"/>
          <w:szCs w:val="20"/>
        </w:rPr>
      </w:pPr>
      <w:r w:rsidRPr="00965FE5">
        <w:rPr>
          <w:rFonts w:cstheme="minorHAnsi"/>
          <w:sz w:val="20"/>
          <w:szCs w:val="20"/>
          <w:u w:val="single"/>
        </w:rPr>
        <w:t>Description et planification du projet de recherche</w:t>
      </w:r>
      <w:r w:rsidRPr="00965FE5">
        <w:rPr>
          <w:rFonts w:cstheme="minorHAnsi"/>
          <w:sz w:val="20"/>
          <w:szCs w:val="20"/>
        </w:rPr>
        <w:t xml:space="preserve"> : </w:t>
      </w:r>
    </w:p>
    <w:p w:rsidR="00965FE5" w:rsidRDefault="005158F8" w:rsidP="00965FE5">
      <w:pPr>
        <w:pStyle w:val="Commentaire"/>
        <w:jc w:val="both"/>
        <w:rPr>
          <w:rFonts w:asciiTheme="minorHAnsi" w:hAnsiTheme="minorHAnsi" w:cstheme="minorHAnsi"/>
          <w:sz w:val="20"/>
        </w:rPr>
      </w:pPr>
      <w:r w:rsidRPr="00965FE5">
        <w:rPr>
          <w:rFonts w:asciiTheme="minorHAnsi" w:hAnsiTheme="minorHAnsi" w:cstheme="minorHAnsi"/>
          <w:b/>
          <w:sz w:val="20"/>
        </w:rPr>
        <w:t>Contexte</w:t>
      </w:r>
      <w:r w:rsidRPr="00965FE5">
        <w:rPr>
          <w:rFonts w:asciiTheme="minorHAnsi" w:hAnsiTheme="minorHAnsi" w:cstheme="minorHAnsi"/>
          <w:sz w:val="20"/>
        </w:rPr>
        <w:t xml:space="preserve"> : </w:t>
      </w:r>
      <w:r w:rsidR="00965FE5" w:rsidRPr="00965FE5">
        <w:rPr>
          <w:rFonts w:asciiTheme="minorHAnsi" w:hAnsiTheme="minorHAnsi" w:cstheme="minorHAnsi"/>
          <w:sz w:val="20"/>
        </w:rPr>
        <w:t>Le vieillissement de la population française se poursuit aujourd’hui avec près d’</w:t>
      </w:r>
      <w:r w:rsidR="00425925">
        <w:rPr>
          <w:rFonts w:asciiTheme="minorHAnsi" w:hAnsiTheme="minorHAnsi" w:cstheme="minorHAnsi"/>
          <w:sz w:val="20"/>
        </w:rPr>
        <w:t>1</w:t>
      </w:r>
      <w:r w:rsidR="00965FE5" w:rsidRPr="00965FE5">
        <w:rPr>
          <w:rFonts w:asciiTheme="minorHAnsi" w:hAnsiTheme="minorHAnsi" w:cstheme="minorHAnsi"/>
          <w:sz w:val="20"/>
        </w:rPr>
        <w:t xml:space="preserve"> habitant sur 10 </w:t>
      </w:r>
      <w:r w:rsidR="00425925">
        <w:rPr>
          <w:rFonts w:asciiTheme="minorHAnsi" w:hAnsiTheme="minorHAnsi" w:cstheme="minorHAnsi"/>
          <w:sz w:val="20"/>
        </w:rPr>
        <w:t>âgé de</w:t>
      </w:r>
      <w:r w:rsidR="00965FE5" w:rsidRPr="00965FE5">
        <w:rPr>
          <w:rFonts w:asciiTheme="minorHAnsi" w:hAnsiTheme="minorHAnsi" w:cstheme="minorHAnsi"/>
          <w:sz w:val="20"/>
        </w:rPr>
        <w:t xml:space="preserve"> plus de 75 ans. Or, fondé sur les données rétrospectives, le pourcentage de personnes âgées de plus de 65 ans ayant fait au moins une chute sur les 6 derniers mois est de l’ordre de 40% (Becker et al., 2003</w:t>
      </w:r>
      <w:r w:rsidR="00425925">
        <w:rPr>
          <w:rFonts w:asciiTheme="minorHAnsi" w:hAnsiTheme="minorHAnsi" w:cstheme="minorHAnsi"/>
          <w:sz w:val="20"/>
        </w:rPr>
        <w:t xml:space="preserve"> </w:t>
      </w:r>
      <w:r w:rsidR="00965FE5" w:rsidRPr="00965FE5">
        <w:rPr>
          <w:rFonts w:asciiTheme="minorHAnsi" w:hAnsiTheme="minorHAnsi" w:cstheme="minorHAnsi"/>
          <w:sz w:val="20"/>
        </w:rPr>
        <w:t>; Jensen et al., 2003). On estimait en 2004</w:t>
      </w:r>
      <w:r w:rsidR="00425925">
        <w:rPr>
          <w:rFonts w:asciiTheme="minorHAnsi" w:hAnsiTheme="minorHAnsi" w:cstheme="minorHAnsi"/>
          <w:sz w:val="20"/>
        </w:rPr>
        <w:t xml:space="preserve">, </w:t>
      </w:r>
      <w:r w:rsidR="00425925" w:rsidRPr="00965FE5">
        <w:rPr>
          <w:rFonts w:asciiTheme="minorHAnsi" w:hAnsiTheme="minorHAnsi" w:cstheme="minorHAnsi"/>
          <w:sz w:val="20"/>
        </w:rPr>
        <w:t xml:space="preserve">en </w:t>
      </w:r>
      <w:r w:rsidR="00425925">
        <w:rPr>
          <w:rFonts w:asciiTheme="minorHAnsi" w:hAnsiTheme="minorHAnsi" w:cstheme="minorHAnsi"/>
          <w:sz w:val="20"/>
        </w:rPr>
        <w:t xml:space="preserve">France, </w:t>
      </w:r>
      <w:r w:rsidR="00965FE5" w:rsidRPr="00965FE5">
        <w:rPr>
          <w:rFonts w:asciiTheme="minorHAnsi" w:hAnsiTheme="minorHAnsi" w:cstheme="minorHAnsi"/>
          <w:sz w:val="20"/>
        </w:rPr>
        <w:t xml:space="preserve">que 450 000 accidents étaient liés à des chutes, ce qui en faisait l’accident le plus courant dans la vie quotidienne. L’Inserm rapporte </w:t>
      </w:r>
      <w:r w:rsidR="00425925">
        <w:rPr>
          <w:rFonts w:asciiTheme="minorHAnsi" w:hAnsiTheme="minorHAnsi" w:cstheme="minorHAnsi"/>
          <w:sz w:val="20"/>
        </w:rPr>
        <w:t>le</w:t>
      </w:r>
      <w:r w:rsidR="00965FE5" w:rsidRPr="00965FE5">
        <w:rPr>
          <w:rFonts w:asciiTheme="minorHAnsi" w:hAnsiTheme="minorHAnsi" w:cstheme="minorHAnsi"/>
          <w:sz w:val="20"/>
        </w:rPr>
        <w:t xml:space="preserve"> coût </w:t>
      </w:r>
      <w:r w:rsidR="00425925">
        <w:rPr>
          <w:rFonts w:asciiTheme="minorHAnsi" w:hAnsiTheme="minorHAnsi" w:cstheme="minorHAnsi"/>
          <w:sz w:val="20"/>
        </w:rPr>
        <w:t xml:space="preserve">moyen </w:t>
      </w:r>
      <w:r w:rsidR="00965FE5" w:rsidRPr="00965FE5">
        <w:rPr>
          <w:rFonts w:asciiTheme="minorHAnsi" w:hAnsiTheme="minorHAnsi" w:cstheme="minorHAnsi"/>
          <w:sz w:val="20"/>
        </w:rPr>
        <w:t xml:space="preserve">imputable aux chutes des personnes âgées institutionnalisées à 6 859 $ par chuteur et par an, aux USA en 2006 (Inserm, 2015). De plus, le taux moyen de chute annuelle </w:t>
      </w:r>
      <w:r w:rsidR="00425925">
        <w:rPr>
          <w:rFonts w:asciiTheme="minorHAnsi" w:hAnsiTheme="minorHAnsi" w:cstheme="minorHAnsi"/>
          <w:sz w:val="20"/>
        </w:rPr>
        <w:t xml:space="preserve">par résident </w:t>
      </w:r>
      <w:r w:rsidR="00965FE5" w:rsidRPr="00965FE5">
        <w:rPr>
          <w:rFonts w:asciiTheme="minorHAnsi" w:hAnsiTheme="minorHAnsi" w:cstheme="minorHAnsi"/>
          <w:sz w:val="20"/>
        </w:rPr>
        <w:t>au cours d’un séjour</w:t>
      </w:r>
      <w:r w:rsidR="00425925">
        <w:rPr>
          <w:rFonts w:asciiTheme="minorHAnsi" w:hAnsiTheme="minorHAnsi" w:cstheme="minorHAnsi"/>
          <w:sz w:val="20"/>
        </w:rPr>
        <w:t xml:space="preserve"> en établissement d’hébergement pour personne dépendante (EHPAD)</w:t>
      </w:r>
      <w:r w:rsidR="00965FE5" w:rsidRPr="00965FE5">
        <w:rPr>
          <w:rFonts w:asciiTheme="minorHAnsi" w:hAnsiTheme="minorHAnsi" w:cstheme="minorHAnsi"/>
          <w:sz w:val="20"/>
        </w:rPr>
        <w:t xml:space="preserve"> est de 1,7 chutes/lits/an. Avec près de 700 000 places en EHPAD, on peut estimer le nombre de chutes en EHPAD en France à plus d’1 million par an. Cependant, celles-ci ne sont pas toujours déclarées car leurs conséquences sont variables, les rendant en quelque sorte silencieuses (</w:t>
      </w:r>
      <w:proofErr w:type="spellStart"/>
      <w:r w:rsidR="00965FE5" w:rsidRPr="00965FE5">
        <w:rPr>
          <w:rFonts w:asciiTheme="minorHAnsi" w:hAnsiTheme="minorHAnsi" w:cstheme="minorHAnsi"/>
          <w:sz w:val="20"/>
        </w:rPr>
        <w:t>Mazuz</w:t>
      </w:r>
      <w:proofErr w:type="spellEnd"/>
      <w:r w:rsidR="00965FE5" w:rsidRPr="00965FE5">
        <w:rPr>
          <w:rFonts w:asciiTheme="minorHAnsi" w:hAnsiTheme="minorHAnsi" w:cstheme="minorHAnsi"/>
          <w:sz w:val="20"/>
        </w:rPr>
        <w:t xml:space="preserve">, </w:t>
      </w:r>
      <w:proofErr w:type="spellStart"/>
      <w:r w:rsidR="00965FE5" w:rsidRPr="00965FE5">
        <w:rPr>
          <w:rFonts w:asciiTheme="minorHAnsi" w:hAnsiTheme="minorHAnsi" w:cstheme="minorHAnsi"/>
          <w:sz w:val="20"/>
        </w:rPr>
        <w:t>Biswas</w:t>
      </w:r>
      <w:proofErr w:type="spellEnd"/>
      <w:r w:rsidR="00965FE5" w:rsidRPr="00965FE5">
        <w:rPr>
          <w:rFonts w:asciiTheme="minorHAnsi" w:hAnsiTheme="minorHAnsi" w:cstheme="minorHAnsi"/>
          <w:sz w:val="20"/>
        </w:rPr>
        <w:t xml:space="preserve"> and </w:t>
      </w:r>
      <w:proofErr w:type="spellStart"/>
      <w:r w:rsidR="00965FE5" w:rsidRPr="00965FE5">
        <w:rPr>
          <w:rFonts w:asciiTheme="minorHAnsi" w:hAnsiTheme="minorHAnsi" w:cstheme="minorHAnsi"/>
          <w:sz w:val="20"/>
        </w:rPr>
        <w:t>Lindn</w:t>
      </w:r>
      <w:r w:rsidR="00425925">
        <w:rPr>
          <w:rFonts w:asciiTheme="minorHAnsi" w:hAnsiTheme="minorHAnsi" w:cstheme="minorHAnsi"/>
          <w:sz w:val="20"/>
        </w:rPr>
        <w:t>er</w:t>
      </w:r>
      <w:proofErr w:type="spellEnd"/>
      <w:r w:rsidR="00425925">
        <w:rPr>
          <w:rFonts w:asciiTheme="minorHAnsi" w:hAnsiTheme="minorHAnsi" w:cstheme="minorHAnsi"/>
          <w:sz w:val="20"/>
        </w:rPr>
        <w:t xml:space="preserve">, 2020 ; </w:t>
      </w:r>
      <w:r w:rsidR="00965FE5" w:rsidRPr="00965FE5">
        <w:rPr>
          <w:rFonts w:asciiTheme="minorHAnsi" w:hAnsiTheme="minorHAnsi" w:cstheme="minorHAnsi"/>
          <w:sz w:val="20"/>
        </w:rPr>
        <w:t xml:space="preserve">Carpenter et al., 2014). La détection anticipée des personnes à risque a donc son importance en termes de coûts comme de vies humaines. Seulement, </w:t>
      </w:r>
      <w:proofErr w:type="gramStart"/>
      <w:r w:rsidR="00965FE5" w:rsidRPr="00965FE5">
        <w:rPr>
          <w:rFonts w:asciiTheme="minorHAnsi" w:hAnsiTheme="minorHAnsi" w:cstheme="minorHAnsi"/>
          <w:sz w:val="20"/>
        </w:rPr>
        <w:t>la HAS</w:t>
      </w:r>
      <w:proofErr w:type="gramEnd"/>
      <w:r w:rsidR="00965FE5" w:rsidRPr="00965FE5">
        <w:rPr>
          <w:rFonts w:asciiTheme="minorHAnsi" w:hAnsiTheme="minorHAnsi" w:cstheme="minorHAnsi"/>
          <w:sz w:val="20"/>
        </w:rPr>
        <w:t xml:space="preserve"> soulignait dans son rapport de 20</w:t>
      </w:r>
      <w:r w:rsidR="00965FE5">
        <w:rPr>
          <w:rFonts w:asciiTheme="minorHAnsi" w:hAnsiTheme="minorHAnsi" w:cstheme="minorHAnsi"/>
          <w:sz w:val="20"/>
        </w:rPr>
        <w:t xml:space="preserve">09 </w:t>
      </w:r>
      <w:r w:rsidR="00965FE5" w:rsidRPr="00965FE5">
        <w:rPr>
          <w:rFonts w:asciiTheme="minorHAnsi" w:hAnsiTheme="minorHAnsi" w:cstheme="minorHAnsi"/>
          <w:sz w:val="20"/>
        </w:rPr>
        <w:t xml:space="preserve">(HAS, 2009), le manque d’efficacité pour réduire le nombre de chutes qui se ressentait au niveau national depuis l’an 2000. Dans les EHPAD, la prise de conscience du risque de chute permet d’éviter certains facteurs de risque, comme l’encombrement des endroits de passage, et de mettre en place des mesures de prévention concernant les sols glissants ou l’éclairage insuffisant par exemple. Il existe également des outils pour détecter les chutes et répondre aux évènements indésirables graves le plus vite possible, </w:t>
      </w:r>
      <w:r w:rsidR="00425925">
        <w:rPr>
          <w:rFonts w:asciiTheme="minorHAnsi" w:hAnsiTheme="minorHAnsi" w:cstheme="minorHAnsi"/>
          <w:sz w:val="20"/>
        </w:rPr>
        <w:t>mais c</w:t>
      </w:r>
      <w:r w:rsidR="00965FE5" w:rsidRPr="00965FE5">
        <w:rPr>
          <w:rFonts w:asciiTheme="minorHAnsi" w:hAnsiTheme="minorHAnsi" w:cstheme="minorHAnsi"/>
          <w:sz w:val="20"/>
        </w:rPr>
        <w:t xml:space="preserve">es outils ne sont utilisables qu’après coup, or la problématique de la prévention des chutes se situe par nature en amont de </w:t>
      </w:r>
      <w:r w:rsidR="00425925">
        <w:rPr>
          <w:rFonts w:asciiTheme="minorHAnsi" w:hAnsiTheme="minorHAnsi" w:cstheme="minorHAnsi"/>
          <w:sz w:val="20"/>
        </w:rPr>
        <w:t>l’incident</w:t>
      </w:r>
      <w:r w:rsidR="00965FE5" w:rsidRPr="00965FE5">
        <w:rPr>
          <w:rFonts w:asciiTheme="minorHAnsi" w:hAnsiTheme="minorHAnsi" w:cstheme="minorHAnsi"/>
          <w:sz w:val="20"/>
        </w:rPr>
        <w:t>. Il faut alors (1)</w:t>
      </w:r>
      <w:r w:rsidR="00425925">
        <w:rPr>
          <w:rFonts w:asciiTheme="minorHAnsi" w:hAnsiTheme="minorHAnsi" w:cstheme="minorHAnsi"/>
          <w:sz w:val="20"/>
        </w:rPr>
        <w:t xml:space="preserve"> </w:t>
      </w:r>
      <w:r w:rsidR="00425925" w:rsidRPr="00965FE5">
        <w:rPr>
          <w:rFonts w:asciiTheme="minorHAnsi" w:hAnsiTheme="minorHAnsi" w:cstheme="minorHAnsi"/>
          <w:sz w:val="20"/>
        </w:rPr>
        <w:t>dépister</w:t>
      </w:r>
      <w:r w:rsidR="00965FE5" w:rsidRPr="00965FE5">
        <w:rPr>
          <w:rFonts w:asciiTheme="minorHAnsi" w:hAnsiTheme="minorHAnsi" w:cstheme="minorHAnsi"/>
          <w:sz w:val="20"/>
        </w:rPr>
        <w:t xml:space="preserve"> la « fragilité » d’un sujet qui est parfois précoce, engendrée par une succession de problèmes précéd</w:t>
      </w:r>
      <w:r w:rsidR="00425925">
        <w:rPr>
          <w:rFonts w:asciiTheme="minorHAnsi" w:hAnsiTheme="minorHAnsi" w:cstheme="minorHAnsi"/>
          <w:sz w:val="20"/>
        </w:rPr>
        <w:t>a</w:t>
      </w:r>
      <w:r w:rsidR="00965FE5" w:rsidRPr="00965FE5">
        <w:rPr>
          <w:rFonts w:asciiTheme="minorHAnsi" w:hAnsiTheme="minorHAnsi" w:cstheme="minorHAnsi"/>
          <w:sz w:val="20"/>
        </w:rPr>
        <w:t>nt de plusieurs années la chute (perte de poids, perte d’appétit, dépression, manque d’énergie et d’activité, affaiblissement progressif, iatrogénie médicamenteuse…) ; (2)</w:t>
      </w:r>
      <w:r w:rsidR="00425925">
        <w:rPr>
          <w:rFonts w:asciiTheme="minorHAnsi" w:hAnsiTheme="minorHAnsi" w:cstheme="minorHAnsi"/>
          <w:sz w:val="20"/>
        </w:rPr>
        <w:t xml:space="preserve"> identifier</w:t>
      </w:r>
      <w:r w:rsidR="00965FE5" w:rsidRPr="00965FE5">
        <w:rPr>
          <w:rFonts w:asciiTheme="minorHAnsi" w:hAnsiTheme="minorHAnsi" w:cstheme="minorHAnsi"/>
          <w:sz w:val="20"/>
        </w:rPr>
        <w:t xml:space="preserve"> les facteurs de risques, notamment cardiovasculaires et métaboliques, qui interviennent ponctuellement dans une chute ; (3) </w:t>
      </w:r>
      <w:r w:rsidR="00425925">
        <w:rPr>
          <w:rFonts w:asciiTheme="minorHAnsi" w:hAnsiTheme="minorHAnsi" w:cstheme="minorHAnsi"/>
          <w:sz w:val="20"/>
        </w:rPr>
        <w:t xml:space="preserve">mesurer les </w:t>
      </w:r>
      <w:r w:rsidR="00965FE5" w:rsidRPr="00965FE5">
        <w:rPr>
          <w:rFonts w:asciiTheme="minorHAnsi" w:hAnsiTheme="minorHAnsi" w:cstheme="minorHAnsi"/>
          <w:sz w:val="20"/>
        </w:rPr>
        <w:t xml:space="preserve">altérations liées à l’âge et à la sédentarité qui impacteront les risques de chutes </w:t>
      </w:r>
      <w:r w:rsidR="00425925">
        <w:rPr>
          <w:rFonts w:asciiTheme="minorHAnsi" w:hAnsiTheme="minorHAnsi" w:cstheme="minorHAnsi"/>
          <w:sz w:val="20"/>
        </w:rPr>
        <w:t>et les capacités physiques</w:t>
      </w:r>
      <w:r w:rsidR="00965FE5" w:rsidRPr="00965FE5">
        <w:rPr>
          <w:rFonts w:asciiTheme="minorHAnsi" w:hAnsiTheme="minorHAnsi" w:cstheme="minorHAnsi"/>
          <w:sz w:val="20"/>
        </w:rPr>
        <w:t xml:space="preserve"> (obésité, mobilité réduite, manque d’équilibre avec des chutes, phlébite asymptomatique entraînant des embolies, de diagnostic tardif de troubles cardiovasculaires, dyspnées, épuisement au moindre effort, etc.). Il devient alors nécessaire de faire un examen approfondi de ces facteurs de risque par le médecin, avec l’historique du patient, et de proposer une correction de la mécanique de la marche</w:t>
      </w:r>
      <w:r w:rsidR="00425925">
        <w:rPr>
          <w:rFonts w:asciiTheme="minorHAnsi" w:hAnsiTheme="minorHAnsi" w:cstheme="minorHAnsi"/>
          <w:sz w:val="20"/>
        </w:rPr>
        <w:t xml:space="preserve"> et de l’équilibre</w:t>
      </w:r>
      <w:r w:rsidR="00965FE5" w:rsidRPr="00965FE5">
        <w:rPr>
          <w:rFonts w:asciiTheme="minorHAnsi" w:hAnsiTheme="minorHAnsi" w:cstheme="minorHAnsi"/>
          <w:sz w:val="20"/>
        </w:rPr>
        <w:t xml:space="preserve"> par le kinésithérapeute.</w:t>
      </w:r>
      <w:r w:rsidR="00965FE5">
        <w:rPr>
          <w:rFonts w:asciiTheme="minorHAnsi" w:hAnsiTheme="minorHAnsi" w:cstheme="minorHAnsi"/>
          <w:sz w:val="20"/>
        </w:rPr>
        <w:t xml:space="preserve"> </w:t>
      </w:r>
      <w:r w:rsidR="00965FE5" w:rsidRPr="00965FE5">
        <w:rPr>
          <w:rFonts w:asciiTheme="minorHAnsi" w:hAnsiTheme="minorHAnsi" w:cstheme="minorHAnsi"/>
          <w:sz w:val="20"/>
        </w:rPr>
        <w:t xml:space="preserve">Prédire les chutes, les anticiper, c’est donc réduire leurs conséquences et les coûts imputables. A toutes les échelles, locale pour un établissement ou régionale pour </w:t>
      </w:r>
      <w:r w:rsidR="00425925">
        <w:rPr>
          <w:rFonts w:asciiTheme="minorHAnsi" w:hAnsiTheme="minorHAnsi" w:cstheme="minorHAnsi"/>
          <w:sz w:val="20"/>
        </w:rPr>
        <w:t>plusieurs</w:t>
      </w:r>
      <w:r w:rsidR="00965FE5" w:rsidRPr="00965FE5">
        <w:rPr>
          <w:rFonts w:asciiTheme="minorHAnsi" w:hAnsiTheme="minorHAnsi" w:cstheme="minorHAnsi"/>
          <w:sz w:val="20"/>
        </w:rPr>
        <w:t>, la problématique des chutes des personnes âgées est majeure tant pour les personnes les subiss</w:t>
      </w:r>
      <w:r w:rsidR="00425925">
        <w:rPr>
          <w:rFonts w:asciiTheme="minorHAnsi" w:hAnsiTheme="minorHAnsi" w:cstheme="minorHAnsi"/>
          <w:sz w:val="20"/>
        </w:rPr>
        <w:t>ant que pour les professionnels</w:t>
      </w:r>
      <w:r w:rsidR="00965FE5" w:rsidRPr="00965FE5">
        <w:rPr>
          <w:rFonts w:asciiTheme="minorHAnsi" w:hAnsiTheme="minorHAnsi" w:cstheme="minorHAnsi"/>
          <w:sz w:val="20"/>
        </w:rPr>
        <w:t xml:space="preserve"> de santé </w:t>
      </w:r>
      <w:r w:rsidR="00425925">
        <w:rPr>
          <w:rFonts w:asciiTheme="minorHAnsi" w:hAnsiTheme="minorHAnsi" w:cstheme="minorHAnsi"/>
          <w:sz w:val="20"/>
        </w:rPr>
        <w:t>ou les</w:t>
      </w:r>
      <w:r w:rsidR="00965FE5" w:rsidRPr="00965FE5">
        <w:rPr>
          <w:rFonts w:asciiTheme="minorHAnsi" w:hAnsiTheme="minorHAnsi" w:cstheme="minorHAnsi"/>
          <w:sz w:val="20"/>
        </w:rPr>
        <w:t xml:space="preserve"> gestion</w:t>
      </w:r>
      <w:r w:rsidR="00425925">
        <w:rPr>
          <w:rFonts w:asciiTheme="minorHAnsi" w:hAnsiTheme="minorHAnsi" w:cstheme="minorHAnsi"/>
          <w:sz w:val="20"/>
        </w:rPr>
        <w:t>naires</w:t>
      </w:r>
      <w:r w:rsidR="00965FE5" w:rsidRPr="00965FE5">
        <w:rPr>
          <w:rFonts w:asciiTheme="minorHAnsi" w:hAnsiTheme="minorHAnsi" w:cstheme="minorHAnsi"/>
          <w:sz w:val="20"/>
        </w:rPr>
        <w:t xml:space="preserve"> des établissements. Pour cela, il est nécessaire d’identifier des variables prédictives et de mettre en place des thérapies pour prévenir la détérioration des capacités.</w:t>
      </w:r>
    </w:p>
    <w:p w:rsidR="00965FE5" w:rsidRDefault="00965FE5" w:rsidP="00965FE5">
      <w:pPr>
        <w:pStyle w:val="Commentaire"/>
        <w:jc w:val="both"/>
        <w:rPr>
          <w:rFonts w:asciiTheme="minorHAnsi" w:hAnsiTheme="minorHAnsi" w:cstheme="minorHAnsi"/>
          <w:sz w:val="20"/>
        </w:rPr>
      </w:pPr>
    </w:p>
    <w:p w:rsidR="00965FE5" w:rsidRDefault="00965FE5" w:rsidP="00965FE5">
      <w:pPr>
        <w:pStyle w:val="Commentaire"/>
        <w:jc w:val="both"/>
        <w:rPr>
          <w:rFonts w:asciiTheme="minorHAnsi" w:hAnsiTheme="minorHAnsi" w:cstheme="minorHAnsi"/>
          <w:sz w:val="20"/>
        </w:rPr>
      </w:pPr>
      <w:r w:rsidRPr="00965FE5">
        <w:rPr>
          <w:rFonts w:asciiTheme="minorHAnsi" w:hAnsiTheme="minorHAnsi" w:cstheme="minorHAnsi"/>
          <w:b/>
          <w:sz w:val="20"/>
        </w:rPr>
        <w:t>Objectifs</w:t>
      </w:r>
      <w:r>
        <w:rPr>
          <w:rFonts w:asciiTheme="minorHAnsi" w:hAnsiTheme="minorHAnsi" w:cstheme="minorHAnsi"/>
          <w:sz w:val="20"/>
        </w:rPr>
        <w:t xml:space="preserve"> : </w:t>
      </w:r>
      <w:r w:rsidRPr="00965FE5">
        <w:rPr>
          <w:rFonts w:asciiTheme="minorHAnsi" w:hAnsiTheme="minorHAnsi" w:cstheme="minorHAnsi"/>
          <w:sz w:val="20"/>
        </w:rPr>
        <w:t>Dans ce projet de recherche, nous visons donc le déploiement d’une solution de monitoring du risque de chute qui a déjà fait l’objet de publications scientifiques dans des revues internationales (</w:t>
      </w:r>
      <w:proofErr w:type="spellStart"/>
      <w:r w:rsidRPr="00965FE5">
        <w:rPr>
          <w:rFonts w:asciiTheme="minorHAnsi" w:hAnsiTheme="minorHAnsi" w:cstheme="minorHAnsi"/>
          <w:sz w:val="20"/>
        </w:rPr>
        <w:t>Audiffren</w:t>
      </w:r>
      <w:proofErr w:type="spellEnd"/>
      <w:r w:rsidRPr="00965FE5">
        <w:rPr>
          <w:rFonts w:asciiTheme="minorHAnsi" w:hAnsiTheme="minorHAnsi" w:cstheme="minorHAnsi"/>
          <w:sz w:val="20"/>
        </w:rPr>
        <w:t xml:space="preserve">, 2016 ; Vienne, 2019 ; </w:t>
      </w:r>
      <w:proofErr w:type="spellStart"/>
      <w:r w:rsidRPr="00965FE5">
        <w:rPr>
          <w:rFonts w:asciiTheme="minorHAnsi" w:hAnsiTheme="minorHAnsi" w:cstheme="minorHAnsi"/>
          <w:sz w:val="20"/>
        </w:rPr>
        <w:t>Oudre</w:t>
      </w:r>
      <w:proofErr w:type="spellEnd"/>
      <w:r w:rsidRPr="00965FE5">
        <w:rPr>
          <w:rFonts w:asciiTheme="minorHAnsi" w:hAnsiTheme="minorHAnsi" w:cstheme="minorHAnsi"/>
          <w:sz w:val="20"/>
        </w:rPr>
        <w:t xml:space="preserve"> ; 2019 ; </w:t>
      </w:r>
      <w:proofErr w:type="spellStart"/>
      <w:r w:rsidRPr="00965FE5">
        <w:rPr>
          <w:rFonts w:asciiTheme="minorHAnsi" w:hAnsiTheme="minorHAnsi" w:cstheme="minorHAnsi"/>
          <w:sz w:val="20"/>
        </w:rPr>
        <w:t>Quijoux</w:t>
      </w:r>
      <w:proofErr w:type="spellEnd"/>
      <w:r w:rsidRPr="00965FE5">
        <w:rPr>
          <w:rFonts w:asciiTheme="minorHAnsi" w:hAnsiTheme="minorHAnsi" w:cstheme="minorHAnsi"/>
          <w:sz w:val="20"/>
        </w:rPr>
        <w:t>, 2020). Ce travail se base d’une part sur des données acquises lors des phases pilotes du développement, réalisées lors de consultations de routine à l’hôpital et sur des revues systématiques de la littérature scientifique. Ces travaux antérieurs ont permis de créer les algorithmes d’analyse du signal, puis de les valider sur des personnes â</w:t>
      </w:r>
      <w:r w:rsidR="008F4209">
        <w:rPr>
          <w:rFonts w:asciiTheme="minorHAnsi" w:hAnsiTheme="minorHAnsi" w:cstheme="minorHAnsi"/>
          <w:sz w:val="20"/>
        </w:rPr>
        <w:t>gées</w:t>
      </w:r>
      <w:r w:rsidRPr="00965FE5">
        <w:rPr>
          <w:rFonts w:asciiTheme="minorHAnsi" w:hAnsiTheme="minorHAnsi" w:cstheme="minorHAnsi"/>
          <w:sz w:val="20"/>
        </w:rPr>
        <w:t xml:space="preserve">, avec ou non des antécédents de chute dans les 6 derniers mois. Le défi scientifique et clinique est dorénavant de quantifier la sensibilité des marqueurs posturographiques </w:t>
      </w:r>
      <w:r w:rsidR="008F4209">
        <w:rPr>
          <w:rFonts w:asciiTheme="minorHAnsi" w:hAnsiTheme="minorHAnsi" w:cstheme="minorHAnsi"/>
          <w:sz w:val="20"/>
        </w:rPr>
        <w:lastRenderedPageBreak/>
        <w:t xml:space="preserve">et liés à la marche </w:t>
      </w:r>
      <w:r w:rsidRPr="00965FE5">
        <w:rPr>
          <w:rFonts w:asciiTheme="minorHAnsi" w:hAnsiTheme="minorHAnsi" w:cstheme="minorHAnsi"/>
          <w:sz w:val="20"/>
        </w:rPr>
        <w:t xml:space="preserve">à l’évolution des capacités physiques des personnes mesurées, lors d’un suivi longitudinal de plusieurs mois. Effectivement, les données des articles scientifiques ne permettent pas actuellement d’établir </w:t>
      </w:r>
      <w:r w:rsidR="008F4209">
        <w:rPr>
          <w:rFonts w:asciiTheme="minorHAnsi" w:hAnsiTheme="minorHAnsi" w:cstheme="minorHAnsi"/>
          <w:sz w:val="20"/>
        </w:rPr>
        <w:t>la fiabilité de ces marqueurs pour l’évolution du risque de chute</w:t>
      </w:r>
      <w:r w:rsidRPr="00965FE5">
        <w:rPr>
          <w:rFonts w:asciiTheme="minorHAnsi" w:hAnsiTheme="minorHAnsi" w:cstheme="minorHAnsi"/>
          <w:sz w:val="20"/>
        </w:rPr>
        <w:t>, ce qui permettrait pourtant de fournir aux professionnels de santé un outil d’aide à la décision dans la rééducation des troubles de l’équilibre. Face à cette problématique des chutes des personnes âgées</w:t>
      </w:r>
      <w:r w:rsidR="008F4209">
        <w:rPr>
          <w:rFonts w:asciiTheme="minorHAnsi" w:hAnsiTheme="minorHAnsi" w:cstheme="minorHAnsi"/>
          <w:sz w:val="20"/>
        </w:rPr>
        <w:t xml:space="preserve"> dépendantes</w:t>
      </w:r>
      <w:r w:rsidRPr="00965FE5">
        <w:rPr>
          <w:rFonts w:asciiTheme="minorHAnsi" w:hAnsiTheme="minorHAnsi" w:cstheme="minorHAnsi"/>
          <w:sz w:val="20"/>
        </w:rPr>
        <w:t>, le projet de recherche ambitionne donc (1) de tester les marqueurs extraits de la littérature et ceux développés en interne pour la détection des personnes à fort risque de chute ; (2) quantifier la sensibilité des marqueurs à l’évolution naturelle à court-terme (3 mois) ainsi qu’à l’évolution positive grâce à de l’activité physique adaptée (3 mois), pour finalement (3) fournir une chaîne de mesure de l’équilibre qui soit pertinente pour les professionnels de santé.</w:t>
      </w:r>
    </w:p>
    <w:p w:rsidR="00965FE5" w:rsidRDefault="00965FE5" w:rsidP="00965FE5">
      <w:pPr>
        <w:pStyle w:val="Commentaire"/>
        <w:jc w:val="both"/>
        <w:rPr>
          <w:rFonts w:asciiTheme="minorHAnsi" w:hAnsiTheme="minorHAnsi" w:cstheme="minorHAnsi"/>
          <w:sz w:val="20"/>
        </w:rPr>
      </w:pPr>
    </w:p>
    <w:p w:rsidR="008F4209" w:rsidRDefault="00965FE5" w:rsidP="00965FE5">
      <w:pPr>
        <w:pStyle w:val="Commentaire"/>
        <w:jc w:val="both"/>
        <w:rPr>
          <w:rFonts w:asciiTheme="minorHAnsi" w:hAnsiTheme="minorHAnsi" w:cstheme="minorHAnsi"/>
          <w:sz w:val="20"/>
        </w:rPr>
      </w:pPr>
      <w:r w:rsidRPr="00965FE5">
        <w:rPr>
          <w:rFonts w:asciiTheme="minorHAnsi" w:hAnsiTheme="minorHAnsi" w:cstheme="minorHAnsi"/>
          <w:b/>
          <w:sz w:val="20"/>
        </w:rPr>
        <w:t>Moyens mis en place </w:t>
      </w:r>
      <w:r>
        <w:rPr>
          <w:rFonts w:asciiTheme="minorHAnsi" w:hAnsiTheme="minorHAnsi" w:cstheme="minorHAnsi"/>
          <w:sz w:val="20"/>
        </w:rPr>
        <w:t xml:space="preserve">: </w:t>
      </w:r>
      <w:r w:rsidRPr="00965FE5">
        <w:rPr>
          <w:rFonts w:asciiTheme="minorHAnsi" w:hAnsiTheme="minorHAnsi" w:cstheme="minorHAnsi"/>
          <w:sz w:val="20"/>
        </w:rPr>
        <w:t xml:space="preserve">La chaîne de mesure développée par le laboratoire est constitué d’une plateforme de force mobile et peu coûteuse (Wii Balance </w:t>
      </w:r>
      <w:proofErr w:type="spellStart"/>
      <w:r w:rsidRPr="00965FE5">
        <w:rPr>
          <w:rFonts w:asciiTheme="minorHAnsi" w:hAnsiTheme="minorHAnsi" w:cstheme="minorHAnsi"/>
          <w:sz w:val="20"/>
        </w:rPr>
        <w:t>Board</w:t>
      </w:r>
      <w:proofErr w:type="spellEnd"/>
      <w:r w:rsidRPr="00965FE5">
        <w:rPr>
          <w:rFonts w:asciiTheme="minorHAnsi" w:hAnsiTheme="minorHAnsi" w:cstheme="minorHAnsi"/>
          <w:sz w:val="20"/>
        </w:rPr>
        <w:t xml:space="preserve">, Nintendo, Japon) associée à des algorithmes de traitement du signal pour en améliorer la fiabilité, de capteurs inertiels à placer sur les pieds, le bassin et la tête pour quantifier l’accélération des segments corporels pendant la marche et d’une tablette </w:t>
      </w:r>
      <w:proofErr w:type="spellStart"/>
      <w:r w:rsidRPr="00965FE5">
        <w:rPr>
          <w:rFonts w:asciiTheme="minorHAnsi" w:hAnsiTheme="minorHAnsi" w:cstheme="minorHAnsi"/>
          <w:sz w:val="20"/>
        </w:rPr>
        <w:t>Androïd</w:t>
      </w:r>
      <w:proofErr w:type="spellEnd"/>
      <w:r w:rsidRPr="00965FE5">
        <w:rPr>
          <w:rFonts w:asciiTheme="minorHAnsi" w:hAnsiTheme="minorHAnsi" w:cstheme="minorHAnsi"/>
          <w:sz w:val="20"/>
        </w:rPr>
        <w:t xml:space="preserve"> avec un logiciel permettant la connexion du hardware afin de transmettre les données, de les traiter sur la tablette et de fournir une analyse automatisée des informations pour le professionnel de santé qui l’utilise.</w:t>
      </w:r>
      <w:r>
        <w:rPr>
          <w:rFonts w:asciiTheme="minorHAnsi" w:hAnsiTheme="minorHAnsi" w:cstheme="minorHAnsi"/>
          <w:sz w:val="20"/>
        </w:rPr>
        <w:t xml:space="preserve"> </w:t>
      </w:r>
      <w:r w:rsidRPr="00965FE5">
        <w:rPr>
          <w:rFonts w:asciiTheme="minorHAnsi" w:hAnsiTheme="minorHAnsi" w:cstheme="minorHAnsi"/>
          <w:sz w:val="20"/>
        </w:rPr>
        <w:t>Pour répondre à ces objectifs, nous mesurerons les classifications fournies par les algorithmes d’apprentissage machine (</w:t>
      </w:r>
      <w:r w:rsidRPr="008F4209">
        <w:rPr>
          <w:rFonts w:asciiTheme="minorHAnsi" w:hAnsiTheme="minorHAnsi" w:cstheme="minorHAnsi"/>
          <w:i/>
          <w:sz w:val="20"/>
        </w:rPr>
        <w:t xml:space="preserve">machine </w:t>
      </w:r>
      <w:proofErr w:type="spellStart"/>
      <w:r w:rsidRPr="008F4209">
        <w:rPr>
          <w:rFonts w:asciiTheme="minorHAnsi" w:hAnsiTheme="minorHAnsi" w:cstheme="minorHAnsi"/>
          <w:i/>
          <w:sz w:val="20"/>
        </w:rPr>
        <w:t>learning</w:t>
      </w:r>
      <w:proofErr w:type="spellEnd"/>
      <w:r w:rsidRPr="00965FE5">
        <w:rPr>
          <w:rFonts w:asciiTheme="minorHAnsi" w:hAnsiTheme="minorHAnsi" w:cstheme="minorHAnsi"/>
          <w:sz w:val="20"/>
        </w:rPr>
        <w:t>) importés dans la tablette. Ces algorithmes utilisent les marqueurs extraits de l’analyse de l’équilibre et de la marche pour en déduire une probabilité d’appartenir à l’une des deux classes « fort risque de chute » ou « faible risque de chute ».</w:t>
      </w:r>
      <w:r>
        <w:rPr>
          <w:rFonts w:asciiTheme="minorHAnsi" w:hAnsiTheme="minorHAnsi" w:cstheme="minorHAnsi"/>
          <w:sz w:val="20"/>
        </w:rPr>
        <w:t xml:space="preserve"> Cette chaîne de mesure sera utilisée dans un essai clinique multicentrique à dimension régionale. </w:t>
      </w:r>
      <w:r w:rsidRPr="00965FE5">
        <w:rPr>
          <w:rFonts w:asciiTheme="minorHAnsi" w:hAnsiTheme="minorHAnsi" w:cstheme="minorHAnsi"/>
          <w:sz w:val="20"/>
        </w:rPr>
        <w:t>L’essai clinique est organisé de la manière suivante : 16 établissement</w:t>
      </w:r>
      <w:r>
        <w:rPr>
          <w:rFonts w:asciiTheme="minorHAnsi" w:hAnsiTheme="minorHAnsi" w:cstheme="minorHAnsi"/>
          <w:sz w:val="20"/>
        </w:rPr>
        <w:t>s</w:t>
      </w:r>
      <w:r w:rsidRPr="00965FE5">
        <w:rPr>
          <w:rFonts w:asciiTheme="minorHAnsi" w:hAnsiTheme="minorHAnsi" w:cstheme="minorHAnsi"/>
          <w:sz w:val="20"/>
        </w:rPr>
        <w:t xml:space="preserve"> ont été sélectionné</w:t>
      </w:r>
      <w:r>
        <w:rPr>
          <w:rFonts w:asciiTheme="minorHAnsi" w:hAnsiTheme="minorHAnsi" w:cstheme="minorHAnsi"/>
          <w:sz w:val="20"/>
        </w:rPr>
        <w:t>s</w:t>
      </w:r>
      <w:r w:rsidRPr="00965FE5">
        <w:rPr>
          <w:rFonts w:asciiTheme="minorHAnsi" w:hAnsiTheme="minorHAnsi" w:cstheme="minorHAnsi"/>
          <w:sz w:val="20"/>
        </w:rPr>
        <w:t xml:space="preserve"> en Île-de-France pour accueillir l’étude et inclure des résidents </w:t>
      </w:r>
      <w:r>
        <w:rPr>
          <w:rFonts w:asciiTheme="minorHAnsi" w:hAnsiTheme="minorHAnsi" w:cstheme="minorHAnsi"/>
          <w:sz w:val="20"/>
        </w:rPr>
        <w:t>qui, en</w:t>
      </w:r>
      <w:r w:rsidRPr="00965FE5">
        <w:rPr>
          <w:rFonts w:asciiTheme="minorHAnsi" w:hAnsiTheme="minorHAnsi" w:cstheme="minorHAnsi"/>
          <w:sz w:val="20"/>
        </w:rPr>
        <w:t xml:space="preserve"> se prêtant à la recherche</w:t>
      </w:r>
      <w:r>
        <w:rPr>
          <w:rFonts w:asciiTheme="minorHAnsi" w:hAnsiTheme="minorHAnsi" w:cstheme="minorHAnsi"/>
          <w:sz w:val="20"/>
        </w:rPr>
        <w:t>,</w:t>
      </w:r>
      <w:r w:rsidRPr="00965FE5">
        <w:rPr>
          <w:rFonts w:asciiTheme="minorHAnsi" w:hAnsiTheme="minorHAnsi" w:cstheme="minorHAnsi"/>
          <w:sz w:val="20"/>
        </w:rPr>
        <w:t xml:space="preserve"> bénéficieront d’un suivi mensuel de leur équilibre sur plateforme de force et de leur marche avec les capteurs inertiels ainsi que d’un examen approfondi de leurs risques de chutes, de leurs risques cardiovasculaires et de leurs capacités cognitives.</w:t>
      </w:r>
      <w:r>
        <w:rPr>
          <w:rFonts w:asciiTheme="minorHAnsi" w:hAnsiTheme="minorHAnsi" w:cstheme="minorHAnsi"/>
          <w:sz w:val="20"/>
        </w:rPr>
        <w:t xml:space="preserve"> </w:t>
      </w:r>
      <w:r w:rsidRPr="00965FE5">
        <w:rPr>
          <w:rFonts w:asciiTheme="minorHAnsi" w:hAnsiTheme="minorHAnsi" w:cstheme="minorHAnsi"/>
          <w:sz w:val="20"/>
        </w:rPr>
        <w:t>Pendant une période de 3 mois, les résidents sélectionnés seront donc suivi, sans changement de leurs habitudes (en dehors des relevés de mesures nécessaire à l’étude). Puis, les 3 mois suivant, ils rejoindront le groupe d’A</w:t>
      </w:r>
      <w:r>
        <w:rPr>
          <w:rFonts w:asciiTheme="minorHAnsi" w:hAnsiTheme="minorHAnsi" w:cstheme="minorHAnsi"/>
          <w:sz w:val="20"/>
        </w:rPr>
        <w:t xml:space="preserve">ctivité </w:t>
      </w:r>
      <w:r w:rsidRPr="00965FE5">
        <w:rPr>
          <w:rFonts w:asciiTheme="minorHAnsi" w:hAnsiTheme="minorHAnsi" w:cstheme="minorHAnsi"/>
          <w:sz w:val="20"/>
        </w:rPr>
        <w:t>P</w:t>
      </w:r>
      <w:r>
        <w:rPr>
          <w:rFonts w:asciiTheme="minorHAnsi" w:hAnsiTheme="minorHAnsi" w:cstheme="minorHAnsi"/>
          <w:sz w:val="20"/>
        </w:rPr>
        <w:t xml:space="preserve">hysique </w:t>
      </w:r>
      <w:r w:rsidRPr="00965FE5">
        <w:rPr>
          <w:rFonts w:asciiTheme="minorHAnsi" w:hAnsiTheme="minorHAnsi" w:cstheme="minorHAnsi"/>
          <w:sz w:val="20"/>
        </w:rPr>
        <w:t>A</w:t>
      </w:r>
      <w:r>
        <w:rPr>
          <w:rFonts w:asciiTheme="minorHAnsi" w:hAnsiTheme="minorHAnsi" w:cstheme="minorHAnsi"/>
          <w:sz w:val="20"/>
        </w:rPr>
        <w:t>daptée (APA)</w:t>
      </w:r>
      <w:r w:rsidRPr="00965FE5">
        <w:rPr>
          <w:rFonts w:asciiTheme="minorHAnsi" w:hAnsiTheme="minorHAnsi" w:cstheme="minorHAnsi"/>
          <w:sz w:val="20"/>
        </w:rPr>
        <w:t xml:space="preserve"> qui se tiendra dans leur résidence, à raison de deux fois 1h par semaine. Durant cette période, où les résidents bénéficient d’exercices physiques en groupe, les mesures de l’équilibre et de la marche se poursuivront</w:t>
      </w:r>
      <w:r w:rsidR="008F4209">
        <w:rPr>
          <w:rFonts w:asciiTheme="minorHAnsi" w:hAnsiTheme="minorHAnsi" w:cstheme="minorHAnsi"/>
          <w:sz w:val="20"/>
        </w:rPr>
        <w:t xml:space="preserve"> mensuellement</w:t>
      </w:r>
      <w:r w:rsidRPr="00965FE5">
        <w:rPr>
          <w:rFonts w:asciiTheme="minorHAnsi" w:hAnsiTheme="minorHAnsi" w:cstheme="minorHAnsi"/>
          <w:sz w:val="20"/>
        </w:rPr>
        <w:t>.</w:t>
      </w:r>
      <w:r>
        <w:rPr>
          <w:rFonts w:asciiTheme="minorHAnsi" w:hAnsiTheme="minorHAnsi" w:cstheme="minorHAnsi"/>
          <w:sz w:val="20"/>
        </w:rPr>
        <w:t xml:space="preserve"> </w:t>
      </w:r>
      <w:r w:rsidRPr="00965FE5">
        <w:rPr>
          <w:rFonts w:asciiTheme="minorHAnsi" w:hAnsiTheme="minorHAnsi" w:cstheme="minorHAnsi"/>
          <w:sz w:val="20"/>
        </w:rPr>
        <w:t>Quotidiennement, les équipes de soin des EHPAD relèvent le nombre de chutes et leurs conséquences au travers d’une fiche standardisée qui permettra de faire le lien entre les évaluations (instrumentales et cliniques) avec le nombre effectif de chutes.</w:t>
      </w:r>
      <w:r>
        <w:rPr>
          <w:rFonts w:asciiTheme="minorHAnsi" w:hAnsiTheme="minorHAnsi" w:cstheme="minorHAnsi"/>
          <w:sz w:val="20"/>
        </w:rPr>
        <w:t xml:space="preserve"> Toutes les autorisations réglementaires (CPP, CNIL…) ont été obtenues pour cet essai clinique.</w:t>
      </w:r>
      <w:r w:rsidR="008F4209">
        <w:rPr>
          <w:rFonts w:asciiTheme="minorHAnsi" w:hAnsiTheme="minorHAnsi" w:cstheme="minorHAnsi"/>
          <w:sz w:val="20"/>
        </w:rPr>
        <w:t xml:space="preserve"> </w:t>
      </w:r>
    </w:p>
    <w:p w:rsidR="008F4209" w:rsidRDefault="008F4209" w:rsidP="00965FE5">
      <w:pPr>
        <w:pStyle w:val="Commentaire"/>
        <w:jc w:val="both"/>
        <w:rPr>
          <w:rFonts w:asciiTheme="minorHAnsi" w:hAnsiTheme="minorHAnsi" w:cstheme="minorHAnsi"/>
          <w:sz w:val="20"/>
        </w:rPr>
      </w:pPr>
    </w:p>
    <w:p w:rsidR="00965FE5" w:rsidRDefault="008F4209" w:rsidP="008F4209">
      <w:pPr>
        <w:pStyle w:val="Commentaire"/>
        <w:jc w:val="both"/>
        <w:rPr>
          <w:rFonts w:asciiTheme="minorHAnsi" w:hAnsiTheme="minorHAnsi" w:cstheme="minorHAnsi"/>
          <w:sz w:val="20"/>
        </w:rPr>
      </w:pPr>
      <w:r>
        <w:rPr>
          <w:rFonts w:asciiTheme="minorHAnsi" w:hAnsiTheme="minorHAnsi" w:cstheme="minorHAnsi"/>
          <w:sz w:val="20"/>
        </w:rPr>
        <w:t>En rejoignant ce projet de recherche, vous vous inscrirez dans une équipe multidisciplinaire aux compétences variées dans le domaine de la santé, des mathématiques et du traitement du signal. Le Centre Borelli a une expérience riche de publications à la fois d’article</w:t>
      </w:r>
      <w:r w:rsidR="009775ED">
        <w:rPr>
          <w:rFonts w:asciiTheme="minorHAnsi" w:hAnsiTheme="minorHAnsi" w:cstheme="minorHAnsi"/>
          <w:sz w:val="20"/>
        </w:rPr>
        <w:t>s</w:t>
      </w:r>
      <w:r>
        <w:rPr>
          <w:rFonts w:asciiTheme="minorHAnsi" w:hAnsiTheme="minorHAnsi" w:cstheme="minorHAnsi"/>
          <w:sz w:val="20"/>
        </w:rPr>
        <w:t xml:space="preserve"> de niveau international mais également de dissémination d’outils logiciels </w:t>
      </w:r>
      <w:r w:rsidRPr="008F4209">
        <w:rPr>
          <w:rFonts w:asciiTheme="minorHAnsi" w:hAnsiTheme="minorHAnsi" w:cstheme="minorHAnsi"/>
          <w:i/>
          <w:sz w:val="20"/>
        </w:rPr>
        <w:t xml:space="preserve">open </w:t>
      </w:r>
      <w:proofErr w:type="spellStart"/>
      <w:r w:rsidRPr="008F4209">
        <w:rPr>
          <w:rFonts w:asciiTheme="minorHAnsi" w:hAnsiTheme="minorHAnsi" w:cstheme="minorHAnsi"/>
          <w:i/>
          <w:sz w:val="20"/>
        </w:rPr>
        <w:t>access</w:t>
      </w:r>
      <w:proofErr w:type="spellEnd"/>
      <w:r>
        <w:rPr>
          <w:rFonts w:asciiTheme="minorHAnsi" w:hAnsiTheme="minorHAnsi" w:cstheme="minorHAnsi"/>
          <w:sz w:val="20"/>
        </w:rPr>
        <w:t xml:space="preserve"> favorisant la reproductibilité des résul</w:t>
      </w:r>
      <w:r w:rsidR="009775ED">
        <w:rPr>
          <w:rFonts w:asciiTheme="minorHAnsi" w:hAnsiTheme="minorHAnsi" w:cstheme="minorHAnsi"/>
          <w:sz w:val="20"/>
        </w:rPr>
        <w:t>tats obtenus. Le partenariat</w:t>
      </w:r>
      <w:r>
        <w:rPr>
          <w:rFonts w:asciiTheme="minorHAnsi" w:hAnsiTheme="minorHAnsi" w:cstheme="minorHAnsi"/>
          <w:sz w:val="20"/>
        </w:rPr>
        <w:t xml:space="preserve"> s’est construit avec le groupe ORPEA, leader mondial de la gestion de la dépendance et l’association </w:t>
      </w:r>
      <w:proofErr w:type="spellStart"/>
      <w:r>
        <w:rPr>
          <w:rFonts w:asciiTheme="minorHAnsi" w:hAnsiTheme="minorHAnsi" w:cstheme="minorHAnsi"/>
          <w:sz w:val="20"/>
        </w:rPr>
        <w:t>Gérond’if</w:t>
      </w:r>
      <w:proofErr w:type="spellEnd"/>
      <w:r>
        <w:rPr>
          <w:rFonts w:asciiTheme="minorHAnsi" w:hAnsiTheme="minorHAnsi" w:cstheme="minorHAnsi"/>
          <w:sz w:val="20"/>
        </w:rPr>
        <w:t>, labélisée Domaine Intérêt Majeur « Longévité et Vieillissement », pour concrétiser une vision commune de la prévention des chutes autour d’un essai clinique de grande envergure.</w:t>
      </w:r>
      <w:r w:rsidR="00180C35">
        <w:rPr>
          <w:rFonts w:asciiTheme="minorHAnsi" w:hAnsiTheme="minorHAnsi" w:cstheme="minorHAnsi"/>
          <w:sz w:val="20"/>
        </w:rPr>
        <w:t xml:space="preserve"> Un </w:t>
      </w:r>
      <w:proofErr w:type="spellStart"/>
      <w:r w:rsidR="00180C35">
        <w:rPr>
          <w:rFonts w:asciiTheme="minorHAnsi" w:hAnsiTheme="minorHAnsi" w:cstheme="minorHAnsi"/>
          <w:sz w:val="20"/>
        </w:rPr>
        <w:t>co</w:t>
      </w:r>
      <w:proofErr w:type="spellEnd"/>
      <w:r w:rsidR="00180C35">
        <w:rPr>
          <w:rFonts w:asciiTheme="minorHAnsi" w:hAnsiTheme="minorHAnsi" w:cstheme="minorHAnsi"/>
          <w:sz w:val="20"/>
        </w:rPr>
        <w:t>-encadrement tripartite du projet assurera le bon déroulé de cette recherche et l’atteinte de ces objectifs ambitieux.</w:t>
      </w:r>
    </w:p>
    <w:p w:rsidR="000D208A" w:rsidRDefault="000D208A" w:rsidP="008F4209">
      <w:pPr>
        <w:pStyle w:val="Commentaire"/>
        <w:jc w:val="both"/>
        <w:rPr>
          <w:rFonts w:asciiTheme="minorHAnsi" w:hAnsiTheme="minorHAnsi" w:cstheme="minorHAnsi"/>
          <w:sz w:val="20"/>
        </w:rPr>
      </w:pPr>
    </w:p>
    <w:p w:rsidR="000D208A" w:rsidRDefault="000D208A" w:rsidP="008F4209">
      <w:pPr>
        <w:pStyle w:val="Commentaire"/>
        <w:jc w:val="both"/>
        <w:rPr>
          <w:rFonts w:asciiTheme="minorHAnsi" w:hAnsiTheme="minorHAnsi" w:cstheme="minorHAnsi"/>
          <w:sz w:val="20"/>
        </w:rPr>
      </w:pPr>
      <w:r w:rsidRPr="00F810A5">
        <w:rPr>
          <w:rFonts w:asciiTheme="minorHAnsi" w:hAnsiTheme="minorHAnsi" w:cstheme="minorHAnsi"/>
          <w:b/>
          <w:sz w:val="20"/>
        </w:rPr>
        <w:t>Mission</w:t>
      </w:r>
      <w:r w:rsidR="00AE3D76">
        <w:rPr>
          <w:rFonts w:asciiTheme="minorHAnsi" w:hAnsiTheme="minorHAnsi" w:cstheme="minorHAnsi"/>
          <w:b/>
          <w:sz w:val="20"/>
        </w:rPr>
        <w:t>s</w:t>
      </w:r>
      <w:r>
        <w:rPr>
          <w:rFonts w:asciiTheme="minorHAnsi" w:hAnsiTheme="minorHAnsi" w:cstheme="minorHAnsi"/>
          <w:sz w:val="20"/>
        </w:rPr>
        <w:t xml:space="preserve"> : </w:t>
      </w:r>
      <w:r w:rsidR="00F810A5">
        <w:rPr>
          <w:rFonts w:asciiTheme="minorHAnsi" w:hAnsiTheme="minorHAnsi" w:cstheme="minorHAnsi"/>
          <w:sz w:val="20"/>
        </w:rPr>
        <w:t>Vous aurez pour mission de collecter les données en partenariat avec les acteurs de la recherche des centres d’</w:t>
      </w:r>
      <w:r w:rsidR="00A75697">
        <w:rPr>
          <w:rFonts w:asciiTheme="minorHAnsi" w:hAnsiTheme="minorHAnsi" w:cstheme="minorHAnsi"/>
          <w:sz w:val="20"/>
        </w:rPr>
        <w:t xml:space="preserve">investigation </w:t>
      </w:r>
      <w:r w:rsidR="00F810A5">
        <w:rPr>
          <w:rFonts w:asciiTheme="minorHAnsi" w:hAnsiTheme="minorHAnsi" w:cstheme="minorHAnsi"/>
          <w:sz w:val="20"/>
        </w:rPr>
        <w:t xml:space="preserve">clinique (médecin coordonnateur, ARC, chef de projets…). Ces prises de mesures permettront d’analyser dans un second temps l’équilibre et la marche des résidents des établissements sélectionnés, puis </w:t>
      </w:r>
      <w:r w:rsidR="00A75697">
        <w:rPr>
          <w:rFonts w:asciiTheme="minorHAnsi" w:hAnsiTheme="minorHAnsi" w:cstheme="minorHAnsi"/>
          <w:sz w:val="20"/>
        </w:rPr>
        <w:t xml:space="preserve">seront </w:t>
      </w:r>
      <w:r w:rsidR="00F810A5">
        <w:rPr>
          <w:rFonts w:asciiTheme="minorHAnsi" w:hAnsiTheme="minorHAnsi" w:cstheme="minorHAnsi"/>
          <w:sz w:val="20"/>
        </w:rPr>
        <w:t>mise en lien avec les évaluations des bilans gériatriques</w:t>
      </w:r>
      <w:r w:rsidR="00A75697">
        <w:rPr>
          <w:rFonts w:asciiTheme="minorHAnsi" w:hAnsiTheme="minorHAnsi" w:cstheme="minorHAnsi"/>
          <w:sz w:val="20"/>
        </w:rPr>
        <w:t xml:space="preserve"> faits par les professionnels de santé</w:t>
      </w:r>
      <w:r w:rsidR="00F810A5">
        <w:rPr>
          <w:rFonts w:asciiTheme="minorHAnsi" w:hAnsiTheme="minorHAnsi" w:cstheme="minorHAnsi"/>
          <w:sz w:val="20"/>
        </w:rPr>
        <w:t xml:space="preserve">. Vous proposerez des solutions d’exploration du signal posturographique et de marche en vous basant sur votre expérience clinique, la littérature scientifique et les échanges avec les autres membres du laboratoire. Dans ce contexte, vous étudierez le contrôle moteur sur la base de marqueurs pertinents extraits des signaux physiologiques enregistrés lors des tests de marche et d’équilibre. </w:t>
      </w:r>
      <w:r w:rsidR="00A75697">
        <w:rPr>
          <w:rFonts w:asciiTheme="minorHAnsi" w:hAnsiTheme="minorHAnsi" w:cstheme="minorHAnsi"/>
          <w:sz w:val="20"/>
        </w:rPr>
        <w:t xml:space="preserve">Au quotidien, vous serez sous le double management du </w:t>
      </w:r>
      <w:r w:rsidR="007E1FFB">
        <w:rPr>
          <w:rFonts w:asciiTheme="minorHAnsi" w:hAnsiTheme="minorHAnsi" w:cstheme="minorHAnsi"/>
          <w:sz w:val="20"/>
        </w:rPr>
        <w:t>D</w:t>
      </w:r>
      <w:r w:rsidR="00A75697">
        <w:rPr>
          <w:rFonts w:asciiTheme="minorHAnsi" w:hAnsiTheme="minorHAnsi" w:cstheme="minorHAnsi"/>
          <w:sz w:val="20"/>
        </w:rPr>
        <w:t>irecteur de thèse au niveau du Centre Borelli et du Chef de projets Médicaux du groupe ORPEA.</w:t>
      </w:r>
    </w:p>
    <w:p w:rsidR="00F810A5" w:rsidRDefault="00F810A5" w:rsidP="008F4209">
      <w:pPr>
        <w:pStyle w:val="Commentaire"/>
        <w:jc w:val="both"/>
        <w:rPr>
          <w:rFonts w:asciiTheme="minorHAnsi" w:hAnsiTheme="minorHAnsi" w:cstheme="minorHAnsi"/>
          <w:sz w:val="20"/>
        </w:rPr>
      </w:pPr>
    </w:p>
    <w:p w:rsidR="00425925" w:rsidRDefault="00425925" w:rsidP="00965FE5">
      <w:pPr>
        <w:pStyle w:val="Commentaire"/>
        <w:jc w:val="both"/>
        <w:rPr>
          <w:rFonts w:asciiTheme="minorHAnsi" w:hAnsiTheme="minorHAnsi" w:cstheme="minorHAnsi"/>
          <w:sz w:val="20"/>
        </w:rPr>
      </w:pPr>
      <w:r w:rsidRPr="00425925">
        <w:rPr>
          <w:rFonts w:asciiTheme="minorHAnsi" w:hAnsiTheme="minorHAnsi" w:cstheme="minorHAnsi"/>
          <w:b/>
          <w:sz w:val="20"/>
        </w:rPr>
        <w:t>Retombées attendues du projet</w:t>
      </w:r>
      <w:r>
        <w:rPr>
          <w:rFonts w:asciiTheme="minorHAnsi" w:hAnsiTheme="minorHAnsi" w:cstheme="minorHAnsi"/>
          <w:sz w:val="20"/>
        </w:rPr>
        <w:t xml:space="preserve"> : </w:t>
      </w:r>
      <w:r w:rsidRPr="00425925">
        <w:rPr>
          <w:rFonts w:asciiTheme="minorHAnsi" w:hAnsiTheme="minorHAnsi" w:cstheme="minorHAnsi"/>
          <w:sz w:val="20"/>
        </w:rPr>
        <w:t>Le dépistage des risques de chute (médical et technologique) devrait aboutir à une réduction des chutes par la double action conjointe : une meilleure action préventive, notamment pour les médecins et une meilleure prise en charge grâce à l’APA, objet de ce travail, par les kinésithérapeutes avec une vision ostéo-</w:t>
      </w:r>
      <w:proofErr w:type="spellStart"/>
      <w:r w:rsidRPr="00425925">
        <w:rPr>
          <w:rFonts w:asciiTheme="minorHAnsi" w:hAnsiTheme="minorHAnsi" w:cstheme="minorHAnsi"/>
          <w:sz w:val="20"/>
        </w:rPr>
        <w:t>myo</w:t>
      </w:r>
      <w:proofErr w:type="spellEnd"/>
      <w:r w:rsidRPr="00425925">
        <w:rPr>
          <w:rFonts w:asciiTheme="minorHAnsi" w:hAnsiTheme="minorHAnsi" w:cstheme="minorHAnsi"/>
          <w:sz w:val="20"/>
        </w:rPr>
        <w:t xml:space="preserve">-articulaire dans la mise en place de programmes </w:t>
      </w:r>
      <w:proofErr w:type="spellStart"/>
      <w:r w:rsidRPr="00425925">
        <w:rPr>
          <w:rFonts w:asciiTheme="minorHAnsi" w:hAnsiTheme="minorHAnsi" w:cstheme="minorHAnsi"/>
          <w:sz w:val="20"/>
        </w:rPr>
        <w:t>antichutes</w:t>
      </w:r>
      <w:proofErr w:type="spellEnd"/>
      <w:r w:rsidRPr="00425925">
        <w:rPr>
          <w:rFonts w:asciiTheme="minorHAnsi" w:hAnsiTheme="minorHAnsi" w:cstheme="minorHAnsi"/>
          <w:sz w:val="20"/>
        </w:rPr>
        <w:t>.</w:t>
      </w:r>
      <w:r>
        <w:rPr>
          <w:rFonts w:asciiTheme="minorHAnsi" w:hAnsiTheme="minorHAnsi" w:cstheme="minorHAnsi"/>
          <w:sz w:val="20"/>
        </w:rPr>
        <w:t xml:space="preserve"> Mais l’autre intérêt est également de </w:t>
      </w:r>
      <w:r w:rsidRPr="00425925">
        <w:rPr>
          <w:rFonts w:asciiTheme="minorHAnsi" w:hAnsiTheme="minorHAnsi" w:cstheme="minorHAnsi"/>
          <w:sz w:val="20"/>
        </w:rPr>
        <w:t>définir les règles d’industrialisation d’un système auto</w:t>
      </w:r>
      <w:r>
        <w:rPr>
          <w:rFonts w:asciiTheme="minorHAnsi" w:hAnsiTheme="minorHAnsi" w:cstheme="minorHAnsi"/>
          <w:sz w:val="20"/>
        </w:rPr>
        <w:t>-</w:t>
      </w:r>
      <w:r w:rsidRPr="00425925">
        <w:rPr>
          <w:rFonts w:asciiTheme="minorHAnsi" w:hAnsiTheme="minorHAnsi" w:cstheme="minorHAnsi"/>
          <w:sz w:val="20"/>
        </w:rPr>
        <w:t xml:space="preserve">apprenant et permettant, du fait de son insertion dans </w:t>
      </w:r>
      <w:r w:rsidRPr="00425925">
        <w:rPr>
          <w:rFonts w:asciiTheme="minorHAnsi" w:hAnsiTheme="minorHAnsi" w:cstheme="minorHAnsi"/>
          <w:sz w:val="20"/>
        </w:rPr>
        <w:lastRenderedPageBreak/>
        <w:t>un environnement réel, une amélioration continue des algorithmes utilisés, la comparaison des capteurs, mais aussi, l’impact d’autres variables que celles explorées dans cette étude comme les modifications médicamenteuses, sur le risque de chute</w:t>
      </w:r>
      <w:r>
        <w:rPr>
          <w:rFonts w:asciiTheme="minorHAnsi" w:hAnsiTheme="minorHAnsi" w:cstheme="minorHAnsi"/>
          <w:sz w:val="20"/>
        </w:rPr>
        <w:t>.</w:t>
      </w:r>
    </w:p>
    <w:p w:rsidR="00965FE5" w:rsidRDefault="00965FE5" w:rsidP="00965FE5">
      <w:pPr>
        <w:pStyle w:val="Commentaire"/>
        <w:jc w:val="both"/>
        <w:rPr>
          <w:rFonts w:asciiTheme="minorHAnsi" w:hAnsiTheme="minorHAnsi" w:cstheme="minorHAnsi"/>
          <w:sz w:val="20"/>
        </w:rPr>
      </w:pPr>
    </w:p>
    <w:tbl>
      <w:tblPr>
        <w:tblStyle w:val="Grilledutableau"/>
        <w:tblW w:w="9351" w:type="dxa"/>
        <w:tblLook w:val="04A0" w:firstRow="1" w:lastRow="0" w:firstColumn="1" w:lastColumn="0" w:noHBand="0" w:noVBand="1"/>
      </w:tblPr>
      <w:tblGrid>
        <w:gridCol w:w="4248"/>
        <w:gridCol w:w="427"/>
        <w:gridCol w:w="423"/>
        <w:gridCol w:w="426"/>
        <w:gridCol w:w="431"/>
        <w:gridCol w:w="419"/>
        <w:gridCol w:w="432"/>
        <w:gridCol w:w="419"/>
        <w:gridCol w:w="425"/>
        <w:gridCol w:w="425"/>
        <w:gridCol w:w="425"/>
        <w:gridCol w:w="426"/>
        <w:gridCol w:w="425"/>
      </w:tblGrid>
      <w:tr w:rsidR="00180C35" w:rsidTr="00692A85">
        <w:tc>
          <w:tcPr>
            <w:tcW w:w="4248" w:type="dxa"/>
            <w:vMerge w:val="restart"/>
            <w:tcBorders>
              <w:top w:val="nil"/>
              <w:left w:val="nil"/>
              <w:bottom w:val="nil"/>
              <w:right w:val="single" w:sz="4" w:space="0" w:color="000000"/>
            </w:tcBorders>
          </w:tcPr>
          <w:p w:rsidR="00180C35" w:rsidRDefault="00180C35" w:rsidP="005158F8">
            <w:pPr>
              <w:rPr>
                <w:rFonts w:cstheme="minorHAnsi"/>
                <w:sz w:val="20"/>
                <w:szCs w:val="20"/>
              </w:rPr>
            </w:pPr>
            <w:r w:rsidRPr="00692A85">
              <w:rPr>
                <w:rFonts w:cstheme="minorHAnsi"/>
                <w:b/>
                <w:sz w:val="20"/>
                <w:szCs w:val="20"/>
              </w:rPr>
              <w:t xml:space="preserve">Calendrier prévisionnel : </w:t>
            </w:r>
          </w:p>
        </w:tc>
        <w:tc>
          <w:tcPr>
            <w:tcW w:w="1707" w:type="dxa"/>
            <w:gridSpan w:val="4"/>
            <w:tcBorders>
              <w:left w:val="single" w:sz="4" w:space="0" w:color="000000"/>
            </w:tcBorders>
          </w:tcPr>
          <w:p w:rsidR="00180C35" w:rsidRDefault="00180C35" w:rsidP="005158F8">
            <w:pPr>
              <w:rPr>
                <w:rFonts w:cstheme="minorHAnsi"/>
                <w:sz w:val="20"/>
                <w:szCs w:val="20"/>
              </w:rPr>
            </w:pPr>
            <w:r>
              <w:rPr>
                <w:rFonts w:cstheme="minorHAnsi"/>
                <w:sz w:val="20"/>
                <w:szCs w:val="20"/>
              </w:rPr>
              <w:t>1</w:t>
            </w:r>
            <w:r w:rsidRPr="00180C35">
              <w:rPr>
                <w:rFonts w:cstheme="minorHAnsi"/>
                <w:sz w:val="20"/>
                <w:szCs w:val="20"/>
                <w:vertAlign w:val="superscript"/>
              </w:rPr>
              <w:t>ère</w:t>
            </w:r>
            <w:r>
              <w:rPr>
                <w:rFonts w:cstheme="minorHAnsi"/>
                <w:sz w:val="20"/>
                <w:szCs w:val="20"/>
              </w:rPr>
              <w:t xml:space="preserve"> année</w:t>
            </w:r>
          </w:p>
        </w:tc>
        <w:tc>
          <w:tcPr>
            <w:tcW w:w="1695" w:type="dxa"/>
            <w:gridSpan w:val="4"/>
          </w:tcPr>
          <w:p w:rsidR="00180C35" w:rsidRDefault="00180C35" w:rsidP="005158F8">
            <w:pPr>
              <w:rPr>
                <w:rFonts w:cstheme="minorHAnsi"/>
                <w:sz w:val="20"/>
                <w:szCs w:val="20"/>
              </w:rPr>
            </w:pPr>
            <w:r>
              <w:rPr>
                <w:rFonts w:cstheme="minorHAnsi"/>
                <w:sz w:val="20"/>
                <w:szCs w:val="20"/>
              </w:rPr>
              <w:t>2</w:t>
            </w:r>
            <w:r w:rsidRPr="00180C35">
              <w:rPr>
                <w:rFonts w:cstheme="minorHAnsi"/>
                <w:sz w:val="20"/>
                <w:szCs w:val="20"/>
                <w:vertAlign w:val="superscript"/>
              </w:rPr>
              <w:t>ème</w:t>
            </w:r>
            <w:r>
              <w:rPr>
                <w:rFonts w:cstheme="minorHAnsi"/>
                <w:sz w:val="20"/>
                <w:szCs w:val="20"/>
              </w:rPr>
              <w:t xml:space="preserve"> année</w:t>
            </w:r>
          </w:p>
        </w:tc>
        <w:tc>
          <w:tcPr>
            <w:tcW w:w="1701" w:type="dxa"/>
            <w:gridSpan w:val="4"/>
          </w:tcPr>
          <w:p w:rsidR="00180C35" w:rsidRDefault="00180C35" w:rsidP="005158F8">
            <w:pPr>
              <w:rPr>
                <w:rFonts w:cstheme="minorHAnsi"/>
                <w:sz w:val="20"/>
                <w:szCs w:val="20"/>
              </w:rPr>
            </w:pPr>
            <w:r>
              <w:rPr>
                <w:rFonts w:cstheme="minorHAnsi"/>
                <w:sz w:val="20"/>
                <w:szCs w:val="20"/>
              </w:rPr>
              <w:t>3</w:t>
            </w:r>
            <w:r w:rsidRPr="00180C35">
              <w:rPr>
                <w:rFonts w:cstheme="minorHAnsi"/>
                <w:sz w:val="20"/>
                <w:szCs w:val="20"/>
                <w:vertAlign w:val="superscript"/>
              </w:rPr>
              <w:t>ème</w:t>
            </w:r>
            <w:r>
              <w:rPr>
                <w:rFonts w:cstheme="minorHAnsi"/>
                <w:sz w:val="20"/>
                <w:szCs w:val="20"/>
              </w:rPr>
              <w:t xml:space="preserve"> année</w:t>
            </w:r>
          </w:p>
        </w:tc>
      </w:tr>
      <w:tr w:rsidR="00180C35" w:rsidTr="00692A85">
        <w:tc>
          <w:tcPr>
            <w:tcW w:w="4248" w:type="dxa"/>
            <w:vMerge/>
            <w:tcBorders>
              <w:top w:val="nil"/>
              <w:left w:val="nil"/>
              <w:bottom w:val="nil"/>
              <w:right w:val="single" w:sz="4" w:space="0" w:color="000000"/>
            </w:tcBorders>
          </w:tcPr>
          <w:p w:rsidR="00180C35" w:rsidRDefault="00180C35" w:rsidP="005158F8">
            <w:pPr>
              <w:rPr>
                <w:rFonts w:cstheme="minorHAnsi"/>
                <w:sz w:val="20"/>
                <w:szCs w:val="20"/>
              </w:rPr>
            </w:pPr>
          </w:p>
        </w:tc>
        <w:tc>
          <w:tcPr>
            <w:tcW w:w="427" w:type="dxa"/>
            <w:tcBorders>
              <w:left w:val="single" w:sz="4" w:space="0" w:color="000000"/>
            </w:tcBorders>
          </w:tcPr>
          <w:p w:rsidR="00180C35" w:rsidRDefault="00180C35" w:rsidP="00180C35">
            <w:pPr>
              <w:jc w:val="center"/>
              <w:rPr>
                <w:rFonts w:cstheme="minorHAnsi"/>
                <w:sz w:val="20"/>
                <w:szCs w:val="20"/>
              </w:rPr>
            </w:pPr>
            <w:r>
              <w:rPr>
                <w:rFonts w:cstheme="minorHAnsi"/>
                <w:sz w:val="20"/>
                <w:szCs w:val="20"/>
              </w:rPr>
              <w:t>3</w:t>
            </w:r>
          </w:p>
        </w:tc>
        <w:tc>
          <w:tcPr>
            <w:tcW w:w="423" w:type="dxa"/>
          </w:tcPr>
          <w:p w:rsidR="00180C35" w:rsidRDefault="00180C35" w:rsidP="00180C35">
            <w:pPr>
              <w:jc w:val="center"/>
              <w:rPr>
                <w:rFonts w:cstheme="minorHAnsi"/>
                <w:sz w:val="20"/>
                <w:szCs w:val="20"/>
              </w:rPr>
            </w:pPr>
            <w:r>
              <w:rPr>
                <w:rFonts w:cstheme="minorHAnsi"/>
                <w:sz w:val="20"/>
                <w:szCs w:val="20"/>
              </w:rPr>
              <w:t>6</w:t>
            </w:r>
          </w:p>
        </w:tc>
        <w:tc>
          <w:tcPr>
            <w:tcW w:w="426" w:type="dxa"/>
          </w:tcPr>
          <w:p w:rsidR="00180C35" w:rsidRDefault="00180C35" w:rsidP="00180C35">
            <w:pPr>
              <w:jc w:val="center"/>
              <w:rPr>
                <w:rFonts w:cstheme="minorHAnsi"/>
                <w:sz w:val="20"/>
                <w:szCs w:val="20"/>
              </w:rPr>
            </w:pPr>
            <w:r>
              <w:rPr>
                <w:rFonts w:cstheme="minorHAnsi"/>
                <w:sz w:val="20"/>
                <w:szCs w:val="20"/>
              </w:rPr>
              <w:t>9</w:t>
            </w:r>
          </w:p>
        </w:tc>
        <w:tc>
          <w:tcPr>
            <w:tcW w:w="431" w:type="dxa"/>
          </w:tcPr>
          <w:p w:rsidR="00180C35" w:rsidRDefault="00180C35" w:rsidP="00180C35">
            <w:pPr>
              <w:jc w:val="center"/>
              <w:rPr>
                <w:rFonts w:cstheme="minorHAnsi"/>
                <w:sz w:val="20"/>
                <w:szCs w:val="20"/>
              </w:rPr>
            </w:pPr>
            <w:r>
              <w:rPr>
                <w:rFonts w:cstheme="minorHAnsi"/>
                <w:sz w:val="20"/>
                <w:szCs w:val="20"/>
              </w:rPr>
              <w:t>12</w:t>
            </w:r>
          </w:p>
        </w:tc>
        <w:tc>
          <w:tcPr>
            <w:tcW w:w="419" w:type="dxa"/>
          </w:tcPr>
          <w:p w:rsidR="00180C35" w:rsidRDefault="00180C35" w:rsidP="00180C35">
            <w:pPr>
              <w:jc w:val="center"/>
              <w:rPr>
                <w:rFonts w:cstheme="minorHAnsi"/>
                <w:sz w:val="20"/>
                <w:szCs w:val="20"/>
              </w:rPr>
            </w:pPr>
            <w:r>
              <w:rPr>
                <w:rFonts w:cstheme="minorHAnsi"/>
                <w:sz w:val="20"/>
                <w:szCs w:val="20"/>
              </w:rPr>
              <w:t>15</w:t>
            </w:r>
          </w:p>
        </w:tc>
        <w:tc>
          <w:tcPr>
            <w:tcW w:w="432" w:type="dxa"/>
          </w:tcPr>
          <w:p w:rsidR="00180C35" w:rsidRDefault="00180C35" w:rsidP="00180C35">
            <w:pPr>
              <w:jc w:val="center"/>
              <w:rPr>
                <w:rFonts w:cstheme="minorHAnsi"/>
                <w:sz w:val="20"/>
                <w:szCs w:val="20"/>
              </w:rPr>
            </w:pPr>
            <w:r>
              <w:rPr>
                <w:rFonts w:cstheme="minorHAnsi"/>
                <w:sz w:val="20"/>
                <w:szCs w:val="20"/>
              </w:rPr>
              <w:t>18</w:t>
            </w:r>
          </w:p>
        </w:tc>
        <w:tc>
          <w:tcPr>
            <w:tcW w:w="419" w:type="dxa"/>
          </w:tcPr>
          <w:p w:rsidR="00180C35" w:rsidRDefault="00180C35" w:rsidP="00180C35">
            <w:pPr>
              <w:jc w:val="center"/>
              <w:rPr>
                <w:rFonts w:cstheme="minorHAnsi"/>
                <w:sz w:val="20"/>
                <w:szCs w:val="20"/>
              </w:rPr>
            </w:pPr>
            <w:r>
              <w:rPr>
                <w:rFonts w:cstheme="minorHAnsi"/>
                <w:sz w:val="20"/>
                <w:szCs w:val="20"/>
              </w:rPr>
              <w:t>21</w:t>
            </w:r>
          </w:p>
        </w:tc>
        <w:tc>
          <w:tcPr>
            <w:tcW w:w="425" w:type="dxa"/>
          </w:tcPr>
          <w:p w:rsidR="00180C35" w:rsidRDefault="00180C35" w:rsidP="00180C35">
            <w:pPr>
              <w:jc w:val="center"/>
              <w:rPr>
                <w:rFonts w:cstheme="minorHAnsi"/>
                <w:sz w:val="20"/>
                <w:szCs w:val="20"/>
              </w:rPr>
            </w:pPr>
            <w:r>
              <w:rPr>
                <w:rFonts w:cstheme="minorHAnsi"/>
                <w:sz w:val="20"/>
                <w:szCs w:val="20"/>
              </w:rPr>
              <w:t>24</w:t>
            </w:r>
          </w:p>
        </w:tc>
        <w:tc>
          <w:tcPr>
            <w:tcW w:w="425" w:type="dxa"/>
          </w:tcPr>
          <w:p w:rsidR="00180C35" w:rsidRDefault="00180C35" w:rsidP="00180C35">
            <w:pPr>
              <w:jc w:val="center"/>
              <w:rPr>
                <w:rFonts w:cstheme="minorHAnsi"/>
                <w:sz w:val="20"/>
                <w:szCs w:val="20"/>
              </w:rPr>
            </w:pPr>
            <w:r>
              <w:rPr>
                <w:rFonts w:cstheme="minorHAnsi"/>
                <w:sz w:val="20"/>
                <w:szCs w:val="20"/>
              </w:rPr>
              <w:t>27</w:t>
            </w:r>
          </w:p>
        </w:tc>
        <w:tc>
          <w:tcPr>
            <w:tcW w:w="425" w:type="dxa"/>
          </w:tcPr>
          <w:p w:rsidR="00180C35" w:rsidRDefault="00180C35" w:rsidP="00180C35">
            <w:pPr>
              <w:jc w:val="center"/>
              <w:rPr>
                <w:rFonts w:cstheme="minorHAnsi"/>
                <w:sz w:val="20"/>
                <w:szCs w:val="20"/>
              </w:rPr>
            </w:pPr>
            <w:r>
              <w:rPr>
                <w:rFonts w:cstheme="minorHAnsi"/>
                <w:sz w:val="20"/>
                <w:szCs w:val="20"/>
              </w:rPr>
              <w:t>30</w:t>
            </w:r>
          </w:p>
        </w:tc>
        <w:tc>
          <w:tcPr>
            <w:tcW w:w="426" w:type="dxa"/>
          </w:tcPr>
          <w:p w:rsidR="00180C35" w:rsidRDefault="00180C35" w:rsidP="00180C35">
            <w:pPr>
              <w:jc w:val="center"/>
              <w:rPr>
                <w:rFonts w:cstheme="minorHAnsi"/>
                <w:sz w:val="20"/>
                <w:szCs w:val="20"/>
              </w:rPr>
            </w:pPr>
            <w:r>
              <w:rPr>
                <w:rFonts w:cstheme="minorHAnsi"/>
                <w:sz w:val="20"/>
                <w:szCs w:val="20"/>
              </w:rPr>
              <w:t>33</w:t>
            </w:r>
          </w:p>
        </w:tc>
        <w:tc>
          <w:tcPr>
            <w:tcW w:w="425" w:type="dxa"/>
          </w:tcPr>
          <w:p w:rsidR="00180C35" w:rsidRDefault="00180C35" w:rsidP="00180C35">
            <w:pPr>
              <w:jc w:val="center"/>
              <w:rPr>
                <w:rFonts w:cstheme="minorHAnsi"/>
                <w:sz w:val="20"/>
                <w:szCs w:val="20"/>
              </w:rPr>
            </w:pPr>
            <w:r>
              <w:rPr>
                <w:rFonts w:cstheme="minorHAnsi"/>
                <w:sz w:val="20"/>
                <w:szCs w:val="20"/>
              </w:rPr>
              <w:t>36</w:t>
            </w:r>
          </w:p>
        </w:tc>
      </w:tr>
      <w:tr w:rsidR="008D0499" w:rsidTr="008D0499">
        <w:tc>
          <w:tcPr>
            <w:tcW w:w="4248" w:type="dxa"/>
            <w:tcBorders>
              <w:top w:val="single" w:sz="4" w:space="0" w:color="000000"/>
            </w:tcBorders>
          </w:tcPr>
          <w:p w:rsidR="00180C35" w:rsidRDefault="00180C35" w:rsidP="005158F8">
            <w:pPr>
              <w:rPr>
                <w:rFonts w:cstheme="minorHAnsi"/>
                <w:sz w:val="20"/>
                <w:szCs w:val="20"/>
              </w:rPr>
            </w:pPr>
            <w:r>
              <w:rPr>
                <w:rFonts w:cstheme="minorHAnsi"/>
                <w:sz w:val="20"/>
                <w:szCs w:val="20"/>
              </w:rPr>
              <w:t>Bibliographie</w:t>
            </w:r>
          </w:p>
        </w:tc>
        <w:tc>
          <w:tcPr>
            <w:tcW w:w="427" w:type="dxa"/>
            <w:tcBorders>
              <w:top w:val="single" w:sz="4" w:space="0" w:color="000000"/>
            </w:tcBorders>
            <w:shd w:val="clear" w:color="auto" w:fill="E7E6E6" w:themeFill="background2"/>
          </w:tcPr>
          <w:p w:rsidR="00180C35" w:rsidRDefault="00180C35" w:rsidP="005158F8">
            <w:pPr>
              <w:rPr>
                <w:rFonts w:cstheme="minorHAnsi"/>
                <w:sz w:val="20"/>
                <w:szCs w:val="20"/>
              </w:rPr>
            </w:pPr>
          </w:p>
        </w:tc>
        <w:tc>
          <w:tcPr>
            <w:tcW w:w="423" w:type="dxa"/>
            <w:tcBorders>
              <w:top w:val="single" w:sz="4" w:space="0" w:color="000000"/>
            </w:tcBorders>
            <w:shd w:val="clear" w:color="auto" w:fill="E7E6E6" w:themeFill="background2"/>
          </w:tcPr>
          <w:p w:rsidR="00180C35" w:rsidRDefault="00180C35" w:rsidP="005158F8">
            <w:pPr>
              <w:rPr>
                <w:rFonts w:cstheme="minorHAnsi"/>
                <w:sz w:val="20"/>
                <w:szCs w:val="20"/>
              </w:rPr>
            </w:pPr>
          </w:p>
        </w:tc>
        <w:tc>
          <w:tcPr>
            <w:tcW w:w="426" w:type="dxa"/>
            <w:tcBorders>
              <w:top w:val="single" w:sz="4" w:space="0" w:color="000000"/>
            </w:tcBorders>
            <w:shd w:val="clear" w:color="auto" w:fill="E7E6E6" w:themeFill="background2"/>
          </w:tcPr>
          <w:p w:rsidR="00180C35" w:rsidRDefault="00180C35" w:rsidP="005158F8">
            <w:pPr>
              <w:rPr>
                <w:rFonts w:cstheme="minorHAnsi"/>
                <w:sz w:val="20"/>
                <w:szCs w:val="20"/>
              </w:rPr>
            </w:pPr>
          </w:p>
        </w:tc>
        <w:tc>
          <w:tcPr>
            <w:tcW w:w="431" w:type="dxa"/>
            <w:tcBorders>
              <w:top w:val="single" w:sz="4" w:space="0" w:color="000000"/>
            </w:tcBorders>
            <w:shd w:val="clear" w:color="auto" w:fill="E7E6E6" w:themeFill="background2"/>
          </w:tcPr>
          <w:p w:rsidR="00180C35" w:rsidRDefault="00180C35" w:rsidP="005158F8">
            <w:pPr>
              <w:rPr>
                <w:rFonts w:cstheme="minorHAnsi"/>
                <w:sz w:val="20"/>
                <w:szCs w:val="20"/>
              </w:rPr>
            </w:pPr>
          </w:p>
        </w:tc>
        <w:tc>
          <w:tcPr>
            <w:tcW w:w="419" w:type="dxa"/>
            <w:tcBorders>
              <w:top w:val="single" w:sz="4" w:space="0" w:color="000000"/>
            </w:tcBorders>
            <w:shd w:val="clear" w:color="auto" w:fill="FFFFFF" w:themeFill="background1"/>
          </w:tcPr>
          <w:p w:rsidR="00180C35" w:rsidRDefault="00180C35" w:rsidP="005158F8">
            <w:pPr>
              <w:rPr>
                <w:rFonts w:cstheme="minorHAnsi"/>
                <w:sz w:val="20"/>
                <w:szCs w:val="20"/>
              </w:rPr>
            </w:pPr>
          </w:p>
        </w:tc>
        <w:tc>
          <w:tcPr>
            <w:tcW w:w="432" w:type="dxa"/>
            <w:tcBorders>
              <w:top w:val="single" w:sz="4" w:space="0" w:color="000000"/>
            </w:tcBorders>
          </w:tcPr>
          <w:p w:rsidR="00180C35" w:rsidRDefault="00180C35" w:rsidP="005158F8">
            <w:pPr>
              <w:rPr>
                <w:rFonts w:cstheme="minorHAnsi"/>
                <w:sz w:val="20"/>
                <w:szCs w:val="20"/>
              </w:rPr>
            </w:pPr>
          </w:p>
        </w:tc>
        <w:tc>
          <w:tcPr>
            <w:tcW w:w="419" w:type="dxa"/>
            <w:tcBorders>
              <w:top w:val="single" w:sz="4" w:space="0" w:color="000000"/>
            </w:tcBorders>
          </w:tcPr>
          <w:p w:rsidR="00180C35" w:rsidRDefault="00180C35" w:rsidP="005158F8">
            <w:pPr>
              <w:rPr>
                <w:rFonts w:cstheme="minorHAnsi"/>
                <w:sz w:val="20"/>
                <w:szCs w:val="20"/>
              </w:rPr>
            </w:pPr>
          </w:p>
        </w:tc>
        <w:tc>
          <w:tcPr>
            <w:tcW w:w="425" w:type="dxa"/>
            <w:tcBorders>
              <w:top w:val="single" w:sz="4" w:space="0" w:color="000000"/>
            </w:tcBorders>
            <w:shd w:val="clear" w:color="auto" w:fill="E7E6E6" w:themeFill="background2"/>
          </w:tcPr>
          <w:p w:rsidR="00180C35" w:rsidRDefault="00180C35" w:rsidP="005158F8">
            <w:pPr>
              <w:rPr>
                <w:rFonts w:cstheme="minorHAnsi"/>
                <w:sz w:val="20"/>
                <w:szCs w:val="20"/>
              </w:rPr>
            </w:pPr>
          </w:p>
        </w:tc>
        <w:tc>
          <w:tcPr>
            <w:tcW w:w="425" w:type="dxa"/>
            <w:tcBorders>
              <w:top w:val="single" w:sz="4" w:space="0" w:color="000000"/>
            </w:tcBorders>
            <w:shd w:val="clear" w:color="auto" w:fill="E7E6E6" w:themeFill="background2"/>
          </w:tcPr>
          <w:p w:rsidR="00180C35" w:rsidRDefault="00180C35" w:rsidP="005158F8">
            <w:pPr>
              <w:rPr>
                <w:rFonts w:cstheme="minorHAnsi"/>
                <w:sz w:val="20"/>
                <w:szCs w:val="20"/>
              </w:rPr>
            </w:pPr>
          </w:p>
        </w:tc>
        <w:tc>
          <w:tcPr>
            <w:tcW w:w="425" w:type="dxa"/>
            <w:tcBorders>
              <w:top w:val="single" w:sz="4" w:space="0" w:color="000000"/>
            </w:tcBorders>
          </w:tcPr>
          <w:p w:rsidR="00180C35" w:rsidRDefault="00180C35" w:rsidP="005158F8">
            <w:pPr>
              <w:rPr>
                <w:rFonts w:cstheme="minorHAnsi"/>
                <w:sz w:val="20"/>
                <w:szCs w:val="20"/>
              </w:rPr>
            </w:pPr>
          </w:p>
        </w:tc>
        <w:tc>
          <w:tcPr>
            <w:tcW w:w="426" w:type="dxa"/>
            <w:tcBorders>
              <w:top w:val="single" w:sz="4" w:space="0" w:color="000000"/>
            </w:tcBorders>
          </w:tcPr>
          <w:p w:rsidR="00180C35" w:rsidRDefault="00180C35" w:rsidP="005158F8">
            <w:pPr>
              <w:rPr>
                <w:rFonts w:cstheme="minorHAnsi"/>
                <w:sz w:val="20"/>
                <w:szCs w:val="20"/>
              </w:rPr>
            </w:pPr>
          </w:p>
        </w:tc>
        <w:tc>
          <w:tcPr>
            <w:tcW w:w="425" w:type="dxa"/>
            <w:tcBorders>
              <w:top w:val="single" w:sz="4" w:space="0" w:color="000000"/>
            </w:tcBorders>
          </w:tcPr>
          <w:p w:rsidR="00180C35" w:rsidRDefault="00180C35" w:rsidP="005158F8">
            <w:pPr>
              <w:rPr>
                <w:rFonts w:cstheme="minorHAnsi"/>
                <w:sz w:val="20"/>
                <w:szCs w:val="20"/>
              </w:rPr>
            </w:pPr>
          </w:p>
        </w:tc>
      </w:tr>
      <w:tr w:rsidR="00180C35" w:rsidTr="00692A85">
        <w:tc>
          <w:tcPr>
            <w:tcW w:w="4248" w:type="dxa"/>
          </w:tcPr>
          <w:p w:rsidR="00180C35" w:rsidRDefault="00180C35" w:rsidP="005158F8">
            <w:pPr>
              <w:rPr>
                <w:rFonts w:cstheme="minorHAnsi"/>
                <w:sz w:val="20"/>
                <w:szCs w:val="20"/>
              </w:rPr>
            </w:pPr>
            <w:r>
              <w:rPr>
                <w:rFonts w:cstheme="minorHAnsi"/>
                <w:sz w:val="20"/>
                <w:szCs w:val="20"/>
              </w:rPr>
              <w:t>Prise de mesure dans l’essai clinique</w:t>
            </w:r>
          </w:p>
        </w:tc>
        <w:tc>
          <w:tcPr>
            <w:tcW w:w="427" w:type="dxa"/>
            <w:shd w:val="clear" w:color="auto" w:fill="AEAAAA" w:themeFill="background2" w:themeFillShade="BF"/>
          </w:tcPr>
          <w:p w:rsidR="00180C35" w:rsidRDefault="00180C35" w:rsidP="005158F8">
            <w:pPr>
              <w:rPr>
                <w:rFonts w:cstheme="minorHAnsi"/>
                <w:sz w:val="20"/>
                <w:szCs w:val="20"/>
              </w:rPr>
            </w:pPr>
          </w:p>
        </w:tc>
        <w:tc>
          <w:tcPr>
            <w:tcW w:w="423" w:type="dxa"/>
            <w:shd w:val="clear" w:color="auto" w:fill="AEAAAA" w:themeFill="background2" w:themeFillShade="BF"/>
          </w:tcPr>
          <w:p w:rsidR="00180C35" w:rsidRDefault="00180C35" w:rsidP="005158F8">
            <w:pPr>
              <w:rPr>
                <w:rFonts w:cstheme="minorHAnsi"/>
                <w:sz w:val="20"/>
                <w:szCs w:val="20"/>
              </w:rPr>
            </w:pPr>
          </w:p>
        </w:tc>
        <w:tc>
          <w:tcPr>
            <w:tcW w:w="426" w:type="dxa"/>
            <w:shd w:val="clear" w:color="auto" w:fill="AEAAAA" w:themeFill="background2" w:themeFillShade="BF"/>
          </w:tcPr>
          <w:p w:rsidR="00180C35" w:rsidRDefault="00180C35" w:rsidP="005158F8">
            <w:pPr>
              <w:rPr>
                <w:rFonts w:cstheme="minorHAnsi"/>
                <w:sz w:val="20"/>
                <w:szCs w:val="20"/>
              </w:rPr>
            </w:pPr>
          </w:p>
        </w:tc>
        <w:tc>
          <w:tcPr>
            <w:tcW w:w="431" w:type="dxa"/>
            <w:shd w:val="clear" w:color="auto" w:fill="AEAAAA" w:themeFill="background2" w:themeFillShade="BF"/>
          </w:tcPr>
          <w:p w:rsidR="00180C35" w:rsidRDefault="00180C35" w:rsidP="005158F8">
            <w:pPr>
              <w:rPr>
                <w:rFonts w:cstheme="minorHAnsi"/>
                <w:sz w:val="20"/>
                <w:szCs w:val="20"/>
              </w:rPr>
            </w:pPr>
          </w:p>
        </w:tc>
        <w:tc>
          <w:tcPr>
            <w:tcW w:w="419" w:type="dxa"/>
            <w:shd w:val="clear" w:color="auto" w:fill="AEAAAA" w:themeFill="background2" w:themeFillShade="BF"/>
          </w:tcPr>
          <w:p w:rsidR="00180C35" w:rsidRDefault="00180C35" w:rsidP="005158F8">
            <w:pPr>
              <w:rPr>
                <w:rFonts w:cstheme="minorHAnsi"/>
                <w:sz w:val="20"/>
                <w:szCs w:val="20"/>
              </w:rPr>
            </w:pPr>
          </w:p>
        </w:tc>
        <w:tc>
          <w:tcPr>
            <w:tcW w:w="432" w:type="dxa"/>
            <w:shd w:val="clear" w:color="auto" w:fill="AEAAAA" w:themeFill="background2" w:themeFillShade="BF"/>
          </w:tcPr>
          <w:p w:rsidR="00180C35" w:rsidRDefault="00180C35" w:rsidP="005158F8">
            <w:pPr>
              <w:rPr>
                <w:rFonts w:cstheme="minorHAnsi"/>
                <w:sz w:val="20"/>
                <w:szCs w:val="20"/>
              </w:rPr>
            </w:pPr>
          </w:p>
        </w:tc>
        <w:tc>
          <w:tcPr>
            <w:tcW w:w="419" w:type="dxa"/>
            <w:shd w:val="clear" w:color="auto" w:fill="AEAAAA" w:themeFill="background2" w:themeFillShade="BF"/>
          </w:tcPr>
          <w:p w:rsidR="00180C35" w:rsidRDefault="00180C35" w:rsidP="005158F8">
            <w:pPr>
              <w:rPr>
                <w:rFonts w:cstheme="minorHAnsi"/>
                <w:sz w:val="20"/>
                <w:szCs w:val="20"/>
              </w:rPr>
            </w:pPr>
          </w:p>
        </w:tc>
        <w:tc>
          <w:tcPr>
            <w:tcW w:w="425" w:type="dxa"/>
            <w:shd w:val="clear" w:color="auto" w:fill="AEAAAA" w:themeFill="background2" w:themeFillShade="BF"/>
          </w:tcPr>
          <w:p w:rsidR="00180C35" w:rsidRDefault="00180C35" w:rsidP="005158F8">
            <w:pPr>
              <w:rPr>
                <w:rFonts w:cstheme="minorHAnsi"/>
                <w:sz w:val="20"/>
                <w:szCs w:val="20"/>
              </w:rPr>
            </w:pPr>
          </w:p>
        </w:tc>
        <w:tc>
          <w:tcPr>
            <w:tcW w:w="425" w:type="dxa"/>
            <w:shd w:val="clear" w:color="auto" w:fill="AEAAAA" w:themeFill="background2" w:themeFillShade="BF"/>
          </w:tcPr>
          <w:p w:rsidR="00180C35" w:rsidRDefault="00180C35" w:rsidP="005158F8">
            <w:pPr>
              <w:rPr>
                <w:rFonts w:cstheme="minorHAnsi"/>
                <w:sz w:val="20"/>
                <w:szCs w:val="20"/>
              </w:rPr>
            </w:pPr>
          </w:p>
        </w:tc>
        <w:tc>
          <w:tcPr>
            <w:tcW w:w="425" w:type="dxa"/>
          </w:tcPr>
          <w:p w:rsidR="00180C35" w:rsidRDefault="00180C35" w:rsidP="005158F8">
            <w:pPr>
              <w:rPr>
                <w:rFonts w:cstheme="minorHAnsi"/>
                <w:sz w:val="20"/>
                <w:szCs w:val="20"/>
              </w:rPr>
            </w:pPr>
          </w:p>
        </w:tc>
        <w:tc>
          <w:tcPr>
            <w:tcW w:w="426" w:type="dxa"/>
          </w:tcPr>
          <w:p w:rsidR="00180C35" w:rsidRDefault="00180C35" w:rsidP="005158F8">
            <w:pPr>
              <w:rPr>
                <w:rFonts w:cstheme="minorHAnsi"/>
                <w:sz w:val="20"/>
                <w:szCs w:val="20"/>
              </w:rPr>
            </w:pPr>
          </w:p>
        </w:tc>
        <w:tc>
          <w:tcPr>
            <w:tcW w:w="425" w:type="dxa"/>
          </w:tcPr>
          <w:p w:rsidR="00180C35" w:rsidRDefault="00180C35" w:rsidP="005158F8">
            <w:pPr>
              <w:rPr>
                <w:rFonts w:cstheme="minorHAnsi"/>
                <w:sz w:val="20"/>
                <w:szCs w:val="20"/>
              </w:rPr>
            </w:pPr>
          </w:p>
        </w:tc>
      </w:tr>
      <w:tr w:rsidR="00180C35" w:rsidTr="00692A85">
        <w:tc>
          <w:tcPr>
            <w:tcW w:w="4248" w:type="dxa"/>
          </w:tcPr>
          <w:p w:rsidR="00180C35" w:rsidRDefault="00692A85" w:rsidP="00692A85">
            <w:pPr>
              <w:rPr>
                <w:rFonts w:cstheme="minorHAnsi"/>
                <w:sz w:val="20"/>
                <w:szCs w:val="20"/>
              </w:rPr>
            </w:pPr>
            <w:r>
              <w:rPr>
                <w:rFonts w:cstheme="minorHAnsi"/>
                <w:sz w:val="20"/>
                <w:szCs w:val="20"/>
              </w:rPr>
              <w:t>Participation à l’a</w:t>
            </w:r>
            <w:r w:rsidR="00180C35">
              <w:rPr>
                <w:rFonts w:cstheme="minorHAnsi"/>
                <w:sz w:val="20"/>
                <w:szCs w:val="20"/>
              </w:rPr>
              <w:t>nalyse des données terrain</w:t>
            </w:r>
          </w:p>
        </w:tc>
        <w:tc>
          <w:tcPr>
            <w:tcW w:w="427" w:type="dxa"/>
          </w:tcPr>
          <w:p w:rsidR="00180C35" w:rsidRDefault="00180C35" w:rsidP="005158F8">
            <w:pPr>
              <w:rPr>
                <w:rFonts w:cstheme="minorHAnsi"/>
                <w:sz w:val="20"/>
                <w:szCs w:val="20"/>
              </w:rPr>
            </w:pPr>
          </w:p>
        </w:tc>
        <w:tc>
          <w:tcPr>
            <w:tcW w:w="423" w:type="dxa"/>
          </w:tcPr>
          <w:p w:rsidR="00180C35" w:rsidRDefault="00180C35" w:rsidP="005158F8">
            <w:pPr>
              <w:rPr>
                <w:rFonts w:cstheme="minorHAnsi"/>
                <w:sz w:val="20"/>
                <w:szCs w:val="20"/>
              </w:rPr>
            </w:pPr>
          </w:p>
        </w:tc>
        <w:tc>
          <w:tcPr>
            <w:tcW w:w="426" w:type="dxa"/>
            <w:shd w:val="clear" w:color="auto" w:fill="AEAAAA" w:themeFill="background2" w:themeFillShade="BF"/>
          </w:tcPr>
          <w:p w:rsidR="00180C35" w:rsidRDefault="00180C35" w:rsidP="005158F8">
            <w:pPr>
              <w:rPr>
                <w:rFonts w:cstheme="minorHAnsi"/>
                <w:sz w:val="20"/>
                <w:szCs w:val="20"/>
              </w:rPr>
            </w:pPr>
          </w:p>
        </w:tc>
        <w:tc>
          <w:tcPr>
            <w:tcW w:w="431" w:type="dxa"/>
            <w:shd w:val="clear" w:color="auto" w:fill="AEAAAA" w:themeFill="background2" w:themeFillShade="BF"/>
          </w:tcPr>
          <w:p w:rsidR="00180C35" w:rsidRDefault="00180C35" w:rsidP="005158F8">
            <w:pPr>
              <w:rPr>
                <w:rFonts w:cstheme="minorHAnsi"/>
                <w:sz w:val="20"/>
                <w:szCs w:val="20"/>
              </w:rPr>
            </w:pPr>
          </w:p>
        </w:tc>
        <w:tc>
          <w:tcPr>
            <w:tcW w:w="419" w:type="dxa"/>
          </w:tcPr>
          <w:p w:rsidR="00180C35" w:rsidRDefault="00180C35" w:rsidP="005158F8">
            <w:pPr>
              <w:rPr>
                <w:rFonts w:cstheme="minorHAnsi"/>
                <w:sz w:val="20"/>
                <w:szCs w:val="20"/>
              </w:rPr>
            </w:pPr>
          </w:p>
        </w:tc>
        <w:tc>
          <w:tcPr>
            <w:tcW w:w="432" w:type="dxa"/>
            <w:shd w:val="clear" w:color="auto" w:fill="AEAAAA" w:themeFill="background2" w:themeFillShade="BF"/>
          </w:tcPr>
          <w:p w:rsidR="00180C35" w:rsidRDefault="00180C35" w:rsidP="005158F8">
            <w:pPr>
              <w:rPr>
                <w:rFonts w:cstheme="minorHAnsi"/>
                <w:sz w:val="20"/>
                <w:szCs w:val="20"/>
              </w:rPr>
            </w:pPr>
          </w:p>
        </w:tc>
        <w:tc>
          <w:tcPr>
            <w:tcW w:w="419" w:type="dxa"/>
            <w:shd w:val="clear" w:color="auto" w:fill="AEAAAA" w:themeFill="background2" w:themeFillShade="BF"/>
          </w:tcPr>
          <w:p w:rsidR="00180C35" w:rsidRDefault="00180C35" w:rsidP="005158F8">
            <w:pPr>
              <w:rPr>
                <w:rFonts w:cstheme="minorHAnsi"/>
                <w:sz w:val="20"/>
                <w:szCs w:val="20"/>
              </w:rPr>
            </w:pPr>
          </w:p>
        </w:tc>
        <w:tc>
          <w:tcPr>
            <w:tcW w:w="425" w:type="dxa"/>
            <w:shd w:val="clear" w:color="auto" w:fill="auto"/>
          </w:tcPr>
          <w:p w:rsidR="00180C35" w:rsidRDefault="00180C35" w:rsidP="005158F8">
            <w:pPr>
              <w:rPr>
                <w:rFonts w:cstheme="minorHAnsi"/>
                <w:sz w:val="20"/>
                <w:szCs w:val="20"/>
              </w:rPr>
            </w:pPr>
          </w:p>
        </w:tc>
        <w:tc>
          <w:tcPr>
            <w:tcW w:w="425" w:type="dxa"/>
            <w:shd w:val="clear" w:color="auto" w:fill="auto"/>
          </w:tcPr>
          <w:p w:rsidR="00180C35" w:rsidRDefault="00180C35" w:rsidP="005158F8">
            <w:pPr>
              <w:rPr>
                <w:rFonts w:cstheme="minorHAnsi"/>
                <w:sz w:val="20"/>
                <w:szCs w:val="20"/>
              </w:rPr>
            </w:pPr>
          </w:p>
        </w:tc>
        <w:tc>
          <w:tcPr>
            <w:tcW w:w="425" w:type="dxa"/>
          </w:tcPr>
          <w:p w:rsidR="00180C35" w:rsidRDefault="00180C35" w:rsidP="005158F8">
            <w:pPr>
              <w:rPr>
                <w:rFonts w:cstheme="minorHAnsi"/>
                <w:sz w:val="20"/>
                <w:szCs w:val="20"/>
              </w:rPr>
            </w:pPr>
          </w:p>
        </w:tc>
        <w:tc>
          <w:tcPr>
            <w:tcW w:w="426" w:type="dxa"/>
          </w:tcPr>
          <w:p w:rsidR="00180C35" w:rsidRDefault="00180C35" w:rsidP="005158F8">
            <w:pPr>
              <w:rPr>
                <w:rFonts w:cstheme="minorHAnsi"/>
                <w:sz w:val="20"/>
                <w:szCs w:val="20"/>
              </w:rPr>
            </w:pPr>
          </w:p>
        </w:tc>
        <w:tc>
          <w:tcPr>
            <w:tcW w:w="425" w:type="dxa"/>
          </w:tcPr>
          <w:p w:rsidR="00180C35" w:rsidRDefault="00180C35" w:rsidP="005158F8">
            <w:pPr>
              <w:rPr>
                <w:rFonts w:cstheme="minorHAnsi"/>
                <w:sz w:val="20"/>
                <w:szCs w:val="20"/>
              </w:rPr>
            </w:pPr>
          </w:p>
        </w:tc>
      </w:tr>
      <w:tr w:rsidR="00180C35" w:rsidTr="00692A85">
        <w:tc>
          <w:tcPr>
            <w:tcW w:w="4248" w:type="dxa"/>
          </w:tcPr>
          <w:p w:rsidR="00180C35" w:rsidRDefault="00180C35" w:rsidP="00180C35">
            <w:pPr>
              <w:rPr>
                <w:rFonts w:cstheme="minorHAnsi"/>
                <w:sz w:val="20"/>
                <w:szCs w:val="20"/>
              </w:rPr>
            </w:pPr>
            <w:r>
              <w:rPr>
                <w:rFonts w:cstheme="minorHAnsi"/>
                <w:sz w:val="20"/>
                <w:szCs w:val="20"/>
              </w:rPr>
              <w:t>Sélection de marqueurs prédictifs pertinents</w:t>
            </w:r>
          </w:p>
        </w:tc>
        <w:tc>
          <w:tcPr>
            <w:tcW w:w="427" w:type="dxa"/>
          </w:tcPr>
          <w:p w:rsidR="00180C35" w:rsidRDefault="00180C35" w:rsidP="005158F8">
            <w:pPr>
              <w:rPr>
                <w:rFonts w:cstheme="minorHAnsi"/>
                <w:sz w:val="20"/>
                <w:szCs w:val="20"/>
              </w:rPr>
            </w:pPr>
          </w:p>
        </w:tc>
        <w:tc>
          <w:tcPr>
            <w:tcW w:w="423" w:type="dxa"/>
          </w:tcPr>
          <w:p w:rsidR="00180C35" w:rsidRDefault="00180C35" w:rsidP="005158F8">
            <w:pPr>
              <w:rPr>
                <w:rFonts w:cstheme="minorHAnsi"/>
                <w:sz w:val="20"/>
                <w:szCs w:val="20"/>
              </w:rPr>
            </w:pPr>
          </w:p>
        </w:tc>
        <w:tc>
          <w:tcPr>
            <w:tcW w:w="426" w:type="dxa"/>
          </w:tcPr>
          <w:p w:rsidR="00180C35" w:rsidRDefault="00180C35" w:rsidP="005158F8">
            <w:pPr>
              <w:rPr>
                <w:rFonts w:cstheme="minorHAnsi"/>
                <w:sz w:val="20"/>
                <w:szCs w:val="20"/>
              </w:rPr>
            </w:pPr>
          </w:p>
        </w:tc>
        <w:tc>
          <w:tcPr>
            <w:tcW w:w="431" w:type="dxa"/>
          </w:tcPr>
          <w:p w:rsidR="00180C35" w:rsidRDefault="00180C35" w:rsidP="005158F8">
            <w:pPr>
              <w:rPr>
                <w:rFonts w:cstheme="minorHAnsi"/>
                <w:sz w:val="20"/>
                <w:szCs w:val="20"/>
              </w:rPr>
            </w:pPr>
          </w:p>
        </w:tc>
        <w:tc>
          <w:tcPr>
            <w:tcW w:w="419" w:type="dxa"/>
            <w:shd w:val="clear" w:color="auto" w:fill="767171" w:themeFill="background2" w:themeFillShade="80"/>
          </w:tcPr>
          <w:p w:rsidR="00180C35" w:rsidRDefault="00180C35" w:rsidP="005158F8">
            <w:pPr>
              <w:rPr>
                <w:rFonts w:cstheme="minorHAnsi"/>
                <w:sz w:val="20"/>
                <w:szCs w:val="20"/>
              </w:rPr>
            </w:pPr>
          </w:p>
        </w:tc>
        <w:tc>
          <w:tcPr>
            <w:tcW w:w="432" w:type="dxa"/>
          </w:tcPr>
          <w:p w:rsidR="00180C35" w:rsidRDefault="00180C35" w:rsidP="005158F8">
            <w:pPr>
              <w:rPr>
                <w:rFonts w:cstheme="minorHAnsi"/>
                <w:sz w:val="20"/>
                <w:szCs w:val="20"/>
              </w:rPr>
            </w:pPr>
          </w:p>
        </w:tc>
        <w:tc>
          <w:tcPr>
            <w:tcW w:w="419" w:type="dxa"/>
          </w:tcPr>
          <w:p w:rsidR="00180C35" w:rsidRDefault="00180C35" w:rsidP="005158F8">
            <w:pPr>
              <w:rPr>
                <w:rFonts w:cstheme="minorHAnsi"/>
                <w:sz w:val="20"/>
                <w:szCs w:val="20"/>
              </w:rPr>
            </w:pPr>
          </w:p>
        </w:tc>
        <w:tc>
          <w:tcPr>
            <w:tcW w:w="425" w:type="dxa"/>
            <w:shd w:val="clear" w:color="auto" w:fill="767171" w:themeFill="background2" w:themeFillShade="80"/>
          </w:tcPr>
          <w:p w:rsidR="00180C35" w:rsidRDefault="00180C35" w:rsidP="005158F8">
            <w:pPr>
              <w:rPr>
                <w:rFonts w:cstheme="minorHAnsi"/>
                <w:sz w:val="20"/>
                <w:szCs w:val="20"/>
              </w:rPr>
            </w:pPr>
          </w:p>
        </w:tc>
        <w:tc>
          <w:tcPr>
            <w:tcW w:w="425" w:type="dxa"/>
            <w:shd w:val="clear" w:color="auto" w:fill="auto"/>
          </w:tcPr>
          <w:p w:rsidR="00180C35" w:rsidRDefault="00180C35" w:rsidP="005158F8">
            <w:pPr>
              <w:rPr>
                <w:rFonts w:cstheme="minorHAnsi"/>
                <w:sz w:val="20"/>
                <w:szCs w:val="20"/>
              </w:rPr>
            </w:pPr>
          </w:p>
        </w:tc>
        <w:tc>
          <w:tcPr>
            <w:tcW w:w="425" w:type="dxa"/>
          </w:tcPr>
          <w:p w:rsidR="00180C35" w:rsidRDefault="00180C35" w:rsidP="005158F8">
            <w:pPr>
              <w:rPr>
                <w:rFonts w:cstheme="minorHAnsi"/>
                <w:sz w:val="20"/>
                <w:szCs w:val="20"/>
              </w:rPr>
            </w:pPr>
          </w:p>
        </w:tc>
        <w:tc>
          <w:tcPr>
            <w:tcW w:w="426" w:type="dxa"/>
          </w:tcPr>
          <w:p w:rsidR="00180C35" w:rsidRDefault="00180C35" w:rsidP="005158F8">
            <w:pPr>
              <w:rPr>
                <w:rFonts w:cstheme="minorHAnsi"/>
                <w:sz w:val="20"/>
                <w:szCs w:val="20"/>
              </w:rPr>
            </w:pPr>
          </w:p>
        </w:tc>
        <w:tc>
          <w:tcPr>
            <w:tcW w:w="425" w:type="dxa"/>
          </w:tcPr>
          <w:p w:rsidR="00180C35" w:rsidRDefault="00180C35" w:rsidP="005158F8">
            <w:pPr>
              <w:rPr>
                <w:rFonts w:cstheme="minorHAnsi"/>
                <w:sz w:val="20"/>
                <w:szCs w:val="20"/>
              </w:rPr>
            </w:pPr>
          </w:p>
        </w:tc>
      </w:tr>
      <w:tr w:rsidR="008D0499" w:rsidTr="008D0499">
        <w:tc>
          <w:tcPr>
            <w:tcW w:w="4248" w:type="dxa"/>
          </w:tcPr>
          <w:p w:rsidR="008D0499" w:rsidRDefault="008D0499" w:rsidP="008D0499">
            <w:pPr>
              <w:rPr>
                <w:rFonts w:cstheme="minorHAnsi"/>
                <w:sz w:val="20"/>
                <w:szCs w:val="20"/>
              </w:rPr>
            </w:pPr>
            <w:r>
              <w:rPr>
                <w:rFonts w:cstheme="minorHAnsi"/>
                <w:sz w:val="20"/>
                <w:szCs w:val="20"/>
              </w:rPr>
              <w:t>Séminaires internationaux et publications</w:t>
            </w:r>
          </w:p>
        </w:tc>
        <w:tc>
          <w:tcPr>
            <w:tcW w:w="427" w:type="dxa"/>
          </w:tcPr>
          <w:p w:rsidR="008D0499" w:rsidRDefault="008D0499" w:rsidP="008D0499">
            <w:pPr>
              <w:rPr>
                <w:rFonts w:cstheme="minorHAnsi"/>
                <w:sz w:val="20"/>
                <w:szCs w:val="20"/>
              </w:rPr>
            </w:pPr>
          </w:p>
        </w:tc>
        <w:tc>
          <w:tcPr>
            <w:tcW w:w="423" w:type="dxa"/>
          </w:tcPr>
          <w:p w:rsidR="008D0499" w:rsidRDefault="008D0499" w:rsidP="008D0499">
            <w:pPr>
              <w:rPr>
                <w:rFonts w:cstheme="minorHAnsi"/>
                <w:sz w:val="20"/>
                <w:szCs w:val="20"/>
              </w:rPr>
            </w:pPr>
          </w:p>
        </w:tc>
        <w:tc>
          <w:tcPr>
            <w:tcW w:w="426" w:type="dxa"/>
          </w:tcPr>
          <w:p w:rsidR="008D0499" w:rsidRDefault="008D0499" w:rsidP="008D0499">
            <w:pPr>
              <w:rPr>
                <w:rFonts w:cstheme="minorHAnsi"/>
                <w:sz w:val="20"/>
                <w:szCs w:val="20"/>
              </w:rPr>
            </w:pPr>
          </w:p>
        </w:tc>
        <w:tc>
          <w:tcPr>
            <w:tcW w:w="431" w:type="dxa"/>
          </w:tcPr>
          <w:p w:rsidR="008D0499" w:rsidRDefault="008D0499" w:rsidP="008D0499">
            <w:pPr>
              <w:rPr>
                <w:rFonts w:cstheme="minorHAnsi"/>
                <w:sz w:val="20"/>
                <w:szCs w:val="20"/>
              </w:rPr>
            </w:pPr>
          </w:p>
        </w:tc>
        <w:tc>
          <w:tcPr>
            <w:tcW w:w="419" w:type="dxa"/>
            <w:shd w:val="clear" w:color="auto" w:fill="auto"/>
          </w:tcPr>
          <w:p w:rsidR="008D0499" w:rsidRDefault="008D0499" w:rsidP="008D0499">
            <w:pPr>
              <w:rPr>
                <w:rFonts w:cstheme="minorHAnsi"/>
                <w:sz w:val="20"/>
                <w:szCs w:val="20"/>
              </w:rPr>
            </w:pPr>
          </w:p>
        </w:tc>
        <w:tc>
          <w:tcPr>
            <w:tcW w:w="432" w:type="dxa"/>
            <w:shd w:val="clear" w:color="auto" w:fill="767171" w:themeFill="background2" w:themeFillShade="80"/>
          </w:tcPr>
          <w:p w:rsidR="008D0499" w:rsidRDefault="008D0499" w:rsidP="008D0499">
            <w:pPr>
              <w:rPr>
                <w:rFonts w:cstheme="minorHAnsi"/>
                <w:sz w:val="20"/>
                <w:szCs w:val="20"/>
              </w:rPr>
            </w:pPr>
          </w:p>
        </w:tc>
        <w:tc>
          <w:tcPr>
            <w:tcW w:w="419" w:type="dxa"/>
          </w:tcPr>
          <w:p w:rsidR="008D0499" w:rsidRDefault="008D0499" w:rsidP="008D0499">
            <w:pPr>
              <w:rPr>
                <w:rFonts w:cstheme="minorHAnsi"/>
                <w:sz w:val="20"/>
                <w:szCs w:val="20"/>
              </w:rPr>
            </w:pPr>
          </w:p>
        </w:tc>
        <w:tc>
          <w:tcPr>
            <w:tcW w:w="425" w:type="dxa"/>
            <w:shd w:val="clear" w:color="auto" w:fill="auto"/>
          </w:tcPr>
          <w:p w:rsidR="008D0499" w:rsidRDefault="008D0499" w:rsidP="008D0499">
            <w:pPr>
              <w:rPr>
                <w:rFonts w:cstheme="minorHAnsi"/>
                <w:sz w:val="20"/>
                <w:szCs w:val="20"/>
              </w:rPr>
            </w:pPr>
          </w:p>
        </w:tc>
        <w:tc>
          <w:tcPr>
            <w:tcW w:w="425" w:type="dxa"/>
            <w:shd w:val="clear" w:color="auto" w:fill="767171" w:themeFill="background2" w:themeFillShade="80"/>
          </w:tcPr>
          <w:p w:rsidR="008D0499" w:rsidRDefault="008D0499" w:rsidP="008D0499">
            <w:pPr>
              <w:rPr>
                <w:rFonts w:cstheme="minorHAnsi"/>
                <w:sz w:val="20"/>
                <w:szCs w:val="20"/>
              </w:rPr>
            </w:pPr>
          </w:p>
        </w:tc>
        <w:tc>
          <w:tcPr>
            <w:tcW w:w="425" w:type="dxa"/>
          </w:tcPr>
          <w:p w:rsidR="008D0499" w:rsidRDefault="008D0499" w:rsidP="008D0499">
            <w:pPr>
              <w:rPr>
                <w:rFonts w:cstheme="minorHAnsi"/>
                <w:sz w:val="20"/>
                <w:szCs w:val="20"/>
              </w:rPr>
            </w:pPr>
          </w:p>
        </w:tc>
        <w:tc>
          <w:tcPr>
            <w:tcW w:w="426" w:type="dxa"/>
          </w:tcPr>
          <w:p w:rsidR="008D0499" w:rsidRDefault="008D0499" w:rsidP="008D0499">
            <w:pPr>
              <w:rPr>
                <w:rFonts w:cstheme="minorHAnsi"/>
                <w:sz w:val="20"/>
                <w:szCs w:val="20"/>
              </w:rPr>
            </w:pPr>
          </w:p>
        </w:tc>
        <w:tc>
          <w:tcPr>
            <w:tcW w:w="425" w:type="dxa"/>
          </w:tcPr>
          <w:p w:rsidR="008D0499" w:rsidRDefault="008D0499" w:rsidP="008D0499">
            <w:pPr>
              <w:rPr>
                <w:rFonts w:cstheme="minorHAnsi"/>
                <w:sz w:val="20"/>
                <w:szCs w:val="20"/>
              </w:rPr>
            </w:pPr>
          </w:p>
        </w:tc>
      </w:tr>
      <w:tr w:rsidR="00180C35" w:rsidTr="00692A85">
        <w:tc>
          <w:tcPr>
            <w:tcW w:w="4248" w:type="dxa"/>
          </w:tcPr>
          <w:p w:rsidR="00180C35" w:rsidRDefault="00180C35" w:rsidP="00180C35">
            <w:pPr>
              <w:rPr>
                <w:rFonts w:cstheme="minorHAnsi"/>
                <w:sz w:val="20"/>
                <w:szCs w:val="20"/>
              </w:rPr>
            </w:pPr>
            <w:r>
              <w:rPr>
                <w:rFonts w:cstheme="minorHAnsi"/>
                <w:sz w:val="20"/>
                <w:szCs w:val="20"/>
              </w:rPr>
              <w:t>Rédaction</w:t>
            </w:r>
          </w:p>
        </w:tc>
        <w:tc>
          <w:tcPr>
            <w:tcW w:w="427" w:type="dxa"/>
          </w:tcPr>
          <w:p w:rsidR="00180C35" w:rsidRDefault="00180C35" w:rsidP="005158F8">
            <w:pPr>
              <w:rPr>
                <w:rFonts w:cstheme="minorHAnsi"/>
                <w:sz w:val="20"/>
                <w:szCs w:val="20"/>
              </w:rPr>
            </w:pPr>
          </w:p>
        </w:tc>
        <w:tc>
          <w:tcPr>
            <w:tcW w:w="423" w:type="dxa"/>
          </w:tcPr>
          <w:p w:rsidR="00180C35" w:rsidRDefault="00180C35" w:rsidP="005158F8">
            <w:pPr>
              <w:rPr>
                <w:rFonts w:cstheme="minorHAnsi"/>
                <w:sz w:val="20"/>
                <w:szCs w:val="20"/>
              </w:rPr>
            </w:pPr>
          </w:p>
        </w:tc>
        <w:tc>
          <w:tcPr>
            <w:tcW w:w="426" w:type="dxa"/>
          </w:tcPr>
          <w:p w:rsidR="00180C35" w:rsidRDefault="00180C35" w:rsidP="005158F8">
            <w:pPr>
              <w:rPr>
                <w:rFonts w:cstheme="minorHAnsi"/>
                <w:sz w:val="20"/>
                <w:szCs w:val="20"/>
              </w:rPr>
            </w:pPr>
          </w:p>
        </w:tc>
        <w:tc>
          <w:tcPr>
            <w:tcW w:w="431" w:type="dxa"/>
          </w:tcPr>
          <w:p w:rsidR="00180C35" w:rsidRDefault="00180C35" w:rsidP="005158F8">
            <w:pPr>
              <w:rPr>
                <w:rFonts w:cstheme="minorHAnsi"/>
                <w:sz w:val="20"/>
                <w:szCs w:val="20"/>
              </w:rPr>
            </w:pPr>
          </w:p>
        </w:tc>
        <w:tc>
          <w:tcPr>
            <w:tcW w:w="419" w:type="dxa"/>
          </w:tcPr>
          <w:p w:rsidR="00180C35" w:rsidRDefault="00180C35" w:rsidP="005158F8">
            <w:pPr>
              <w:rPr>
                <w:rFonts w:cstheme="minorHAnsi"/>
                <w:sz w:val="20"/>
                <w:szCs w:val="20"/>
              </w:rPr>
            </w:pPr>
          </w:p>
        </w:tc>
        <w:tc>
          <w:tcPr>
            <w:tcW w:w="432" w:type="dxa"/>
          </w:tcPr>
          <w:p w:rsidR="00180C35" w:rsidRDefault="00180C35" w:rsidP="005158F8">
            <w:pPr>
              <w:rPr>
                <w:rFonts w:cstheme="minorHAnsi"/>
                <w:sz w:val="20"/>
                <w:szCs w:val="20"/>
              </w:rPr>
            </w:pPr>
          </w:p>
        </w:tc>
        <w:tc>
          <w:tcPr>
            <w:tcW w:w="419" w:type="dxa"/>
          </w:tcPr>
          <w:p w:rsidR="00180C35" w:rsidRDefault="00180C35" w:rsidP="005158F8">
            <w:pPr>
              <w:rPr>
                <w:rFonts w:cstheme="minorHAnsi"/>
                <w:sz w:val="20"/>
                <w:szCs w:val="20"/>
              </w:rPr>
            </w:pPr>
          </w:p>
        </w:tc>
        <w:tc>
          <w:tcPr>
            <w:tcW w:w="425" w:type="dxa"/>
          </w:tcPr>
          <w:p w:rsidR="00180C35" w:rsidRDefault="00180C35" w:rsidP="005158F8">
            <w:pPr>
              <w:rPr>
                <w:rFonts w:cstheme="minorHAnsi"/>
                <w:sz w:val="20"/>
                <w:szCs w:val="20"/>
              </w:rPr>
            </w:pPr>
          </w:p>
        </w:tc>
        <w:tc>
          <w:tcPr>
            <w:tcW w:w="425" w:type="dxa"/>
            <w:shd w:val="clear" w:color="auto" w:fill="000000" w:themeFill="text1"/>
          </w:tcPr>
          <w:p w:rsidR="00180C35" w:rsidRDefault="00180C35" w:rsidP="005158F8">
            <w:pPr>
              <w:rPr>
                <w:rFonts w:cstheme="minorHAnsi"/>
                <w:sz w:val="20"/>
                <w:szCs w:val="20"/>
              </w:rPr>
            </w:pPr>
          </w:p>
        </w:tc>
        <w:tc>
          <w:tcPr>
            <w:tcW w:w="425" w:type="dxa"/>
            <w:shd w:val="clear" w:color="auto" w:fill="000000" w:themeFill="text1"/>
          </w:tcPr>
          <w:p w:rsidR="00180C35" w:rsidRDefault="00180C35" w:rsidP="005158F8">
            <w:pPr>
              <w:rPr>
                <w:rFonts w:cstheme="minorHAnsi"/>
                <w:sz w:val="20"/>
                <w:szCs w:val="20"/>
              </w:rPr>
            </w:pPr>
          </w:p>
        </w:tc>
        <w:tc>
          <w:tcPr>
            <w:tcW w:w="426" w:type="dxa"/>
            <w:shd w:val="clear" w:color="auto" w:fill="000000" w:themeFill="text1"/>
          </w:tcPr>
          <w:p w:rsidR="00180C35" w:rsidRDefault="00180C35" w:rsidP="005158F8">
            <w:pPr>
              <w:rPr>
                <w:rFonts w:cstheme="minorHAnsi"/>
                <w:sz w:val="20"/>
                <w:szCs w:val="20"/>
              </w:rPr>
            </w:pPr>
          </w:p>
        </w:tc>
        <w:tc>
          <w:tcPr>
            <w:tcW w:w="425" w:type="dxa"/>
            <w:shd w:val="clear" w:color="auto" w:fill="000000" w:themeFill="text1"/>
          </w:tcPr>
          <w:p w:rsidR="00180C35" w:rsidRDefault="00180C35" w:rsidP="005158F8">
            <w:pPr>
              <w:rPr>
                <w:rFonts w:cstheme="minorHAnsi"/>
                <w:sz w:val="20"/>
                <w:szCs w:val="20"/>
              </w:rPr>
            </w:pPr>
          </w:p>
        </w:tc>
      </w:tr>
    </w:tbl>
    <w:p w:rsidR="00497783" w:rsidRDefault="00497783" w:rsidP="005158F8">
      <w:pPr>
        <w:rPr>
          <w:rFonts w:cstheme="minorHAnsi"/>
          <w:b/>
          <w:sz w:val="20"/>
          <w:szCs w:val="20"/>
        </w:rPr>
      </w:pPr>
    </w:p>
    <w:p w:rsidR="005158F8" w:rsidRPr="00EB4BE4" w:rsidRDefault="008D0499" w:rsidP="005158F8">
      <w:pPr>
        <w:rPr>
          <w:rFonts w:cstheme="minorHAnsi"/>
          <w:b/>
          <w:sz w:val="20"/>
          <w:szCs w:val="20"/>
        </w:rPr>
      </w:pPr>
      <w:r w:rsidRPr="00EB4BE4">
        <w:rPr>
          <w:rFonts w:cstheme="minorHAnsi"/>
          <w:b/>
          <w:sz w:val="20"/>
          <w:szCs w:val="20"/>
        </w:rPr>
        <w:t xml:space="preserve">Profil du candidat : </w:t>
      </w:r>
    </w:p>
    <w:p w:rsidR="008D0499" w:rsidRDefault="008D0499" w:rsidP="008D0499">
      <w:pPr>
        <w:jc w:val="both"/>
        <w:rPr>
          <w:rFonts w:cstheme="minorHAnsi"/>
          <w:sz w:val="20"/>
          <w:szCs w:val="20"/>
        </w:rPr>
      </w:pPr>
      <w:r>
        <w:rPr>
          <w:rFonts w:cstheme="minorHAnsi"/>
          <w:sz w:val="20"/>
          <w:szCs w:val="20"/>
        </w:rPr>
        <w:t>Vous souhaitez participer activement à un projet de recherche d’envergure qui se positionne à la pointe de l’innovation en santé ? Nous recherchons un professionnel de santé diplômé (kinésithérapeute, psychomotricien, ergothérapeute, podologue…) avec un Master Recherche dans des domaines connexes à la gérontologie (neuroscience, science du mouvement, biomécanique, ingénierie biomédicale, etc.) capable d’avoir une vision transversale de la mise en place d’un outil à destination des autres professionnels de santé. L’objectif de cette thèse est d’être capable de collecter des données issues du terrain et d’échanger au sein d’une équipe multidisciplinaire pour aider au développement d’une innovation technologique. Le candidat devra donc être en mesure d’interagir avec les différents acteurs de l’essai (médecins, IDEC, kinésithérapeute,</w:t>
      </w:r>
      <w:r w:rsidR="009775ED">
        <w:rPr>
          <w:rFonts w:cstheme="minorHAnsi"/>
          <w:sz w:val="20"/>
          <w:szCs w:val="20"/>
        </w:rPr>
        <w:t xml:space="preserve"> chefs de projets innovation,</w:t>
      </w:r>
      <w:r>
        <w:rPr>
          <w:rFonts w:cstheme="minorHAnsi"/>
          <w:sz w:val="20"/>
          <w:szCs w:val="20"/>
        </w:rPr>
        <w:t xml:space="preserve"> </w:t>
      </w:r>
      <w:r w:rsidR="00EB4BE4">
        <w:rPr>
          <w:rFonts w:cstheme="minorHAnsi"/>
          <w:sz w:val="20"/>
          <w:szCs w:val="20"/>
        </w:rPr>
        <w:t>mathématiciens et les autres doctorants), sous la direction du C</w:t>
      </w:r>
      <w:r>
        <w:rPr>
          <w:rFonts w:cstheme="minorHAnsi"/>
          <w:sz w:val="20"/>
          <w:szCs w:val="20"/>
        </w:rPr>
        <w:t xml:space="preserve">oordinateur de l’essai clinique et du Directeur de Thèse. </w:t>
      </w:r>
      <w:r w:rsidR="00EB4BE4">
        <w:rPr>
          <w:rFonts w:cstheme="minorHAnsi"/>
          <w:sz w:val="20"/>
          <w:szCs w:val="20"/>
        </w:rPr>
        <w:t xml:space="preserve">Une expérience clinique de plusieurs années est vivement souhaitée car l’une des responsabilités de ce projet de thèse est l’interaction avec les professionnels du terrain pour faciliter la récupération des données auprès des participants de l’essai. Au cours de la thèse, vous aurez l’occasion d’échanger activement avec les membres du laboratoire mais également avec les collaborateurs du groupe ORPEA et les membres de </w:t>
      </w:r>
      <w:proofErr w:type="spellStart"/>
      <w:r w:rsidR="00EB4BE4">
        <w:rPr>
          <w:rFonts w:cstheme="minorHAnsi"/>
          <w:sz w:val="20"/>
          <w:szCs w:val="20"/>
        </w:rPr>
        <w:t>Gérond’if</w:t>
      </w:r>
      <w:proofErr w:type="spellEnd"/>
      <w:r w:rsidR="00EB4BE4">
        <w:rPr>
          <w:rFonts w:cstheme="minorHAnsi"/>
          <w:sz w:val="20"/>
          <w:szCs w:val="20"/>
        </w:rPr>
        <w:t xml:space="preserve">. Ces échanges seront l’occasion de partager votre expérience clinique et de collaborer aux avancées de l’essai clinique, par des </w:t>
      </w:r>
      <w:proofErr w:type="spellStart"/>
      <w:r w:rsidR="00EB4BE4">
        <w:rPr>
          <w:rFonts w:cstheme="minorHAnsi"/>
          <w:sz w:val="20"/>
          <w:szCs w:val="20"/>
        </w:rPr>
        <w:t>co</w:t>
      </w:r>
      <w:proofErr w:type="spellEnd"/>
      <w:r w:rsidR="00EB4BE4">
        <w:rPr>
          <w:rFonts w:cstheme="minorHAnsi"/>
          <w:sz w:val="20"/>
          <w:szCs w:val="20"/>
        </w:rPr>
        <w:t xml:space="preserve">-construction des méthodes d’analyse des données et le </w:t>
      </w:r>
      <w:proofErr w:type="spellStart"/>
      <w:r w:rsidR="00EB4BE4" w:rsidRPr="00EB4BE4">
        <w:rPr>
          <w:rFonts w:cstheme="minorHAnsi"/>
          <w:i/>
          <w:sz w:val="20"/>
          <w:szCs w:val="20"/>
        </w:rPr>
        <w:t>reporting</w:t>
      </w:r>
      <w:proofErr w:type="spellEnd"/>
      <w:r w:rsidR="00EB4BE4">
        <w:rPr>
          <w:rFonts w:cstheme="minorHAnsi"/>
          <w:sz w:val="20"/>
          <w:szCs w:val="20"/>
        </w:rPr>
        <w:t xml:space="preserve"> des avancées de l’étude. Au quotidien, vous organisez votre temps entre, d’une part, la collecte des données en collaboration avec les membres de la cellule Recherche du groupe ORPEA et les investigateurs de l’essai clinique, et d’autre part, le travail scientifique d’étude de la bibliographie, de </w:t>
      </w:r>
      <w:proofErr w:type="spellStart"/>
      <w:r w:rsidR="00EB4BE4">
        <w:rPr>
          <w:rFonts w:cstheme="minorHAnsi"/>
          <w:sz w:val="20"/>
          <w:szCs w:val="20"/>
        </w:rPr>
        <w:t>co</w:t>
      </w:r>
      <w:proofErr w:type="spellEnd"/>
      <w:r w:rsidR="00EB4BE4">
        <w:rPr>
          <w:rFonts w:cstheme="minorHAnsi"/>
          <w:sz w:val="20"/>
          <w:szCs w:val="20"/>
        </w:rPr>
        <w:t xml:space="preserve">-développement des méthodes d’analyse des données et de rédaction d’articles. </w:t>
      </w:r>
    </w:p>
    <w:p w:rsidR="00EB4BE4" w:rsidRPr="00A32681" w:rsidRDefault="00EB4BE4" w:rsidP="008D0499">
      <w:pPr>
        <w:jc w:val="both"/>
        <w:rPr>
          <w:rFonts w:cstheme="minorHAnsi"/>
          <w:sz w:val="20"/>
          <w:szCs w:val="20"/>
          <w:u w:val="single"/>
        </w:rPr>
      </w:pPr>
      <w:r w:rsidRPr="00A32681">
        <w:rPr>
          <w:rFonts w:cstheme="minorHAnsi"/>
          <w:sz w:val="20"/>
          <w:szCs w:val="20"/>
          <w:u w:val="single"/>
        </w:rPr>
        <w:t>Qualification</w:t>
      </w:r>
      <w:r w:rsidR="00A32681">
        <w:rPr>
          <w:rFonts w:cstheme="minorHAnsi"/>
          <w:sz w:val="20"/>
          <w:szCs w:val="20"/>
          <w:u w:val="single"/>
        </w:rPr>
        <w:t>s</w:t>
      </w:r>
      <w:r w:rsidRPr="00A32681">
        <w:rPr>
          <w:rFonts w:cstheme="minorHAnsi"/>
          <w:sz w:val="20"/>
          <w:szCs w:val="20"/>
          <w:u w:val="single"/>
        </w:rPr>
        <w:t xml:space="preserve"> attendues : </w:t>
      </w:r>
    </w:p>
    <w:p w:rsidR="00EB4BE4" w:rsidRDefault="00A32681" w:rsidP="00EB4BE4">
      <w:pPr>
        <w:pStyle w:val="Paragraphedeliste"/>
        <w:numPr>
          <w:ilvl w:val="0"/>
          <w:numId w:val="1"/>
        </w:numPr>
        <w:jc w:val="both"/>
        <w:rPr>
          <w:rFonts w:cstheme="minorHAnsi"/>
          <w:sz w:val="20"/>
          <w:szCs w:val="20"/>
        </w:rPr>
      </w:pPr>
      <w:r>
        <w:rPr>
          <w:rFonts w:cstheme="minorHAnsi"/>
          <w:sz w:val="20"/>
          <w:szCs w:val="20"/>
        </w:rPr>
        <w:t>Diplôme d’une profession paramédicale proche de la rééducation, complété d’un Master permettant l’inscription en thèse auprès de l’école doctorale</w:t>
      </w:r>
    </w:p>
    <w:p w:rsidR="00A32681" w:rsidRDefault="00A32681" w:rsidP="00EB4BE4">
      <w:pPr>
        <w:pStyle w:val="Paragraphedeliste"/>
        <w:numPr>
          <w:ilvl w:val="0"/>
          <w:numId w:val="1"/>
        </w:numPr>
        <w:jc w:val="both"/>
        <w:rPr>
          <w:rFonts w:cstheme="minorHAnsi"/>
          <w:sz w:val="20"/>
          <w:szCs w:val="20"/>
        </w:rPr>
      </w:pPr>
      <w:r>
        <w:rPr>
          <w:rFonts w:cstheme="minorHAnsi"/>
          <w:sz w:val="20"/>
          <w:szCs w:val="20"/>
        </w:rPr>
        <w:t>Expérience précédente de travail en équipe avec des profils multidisciplinaires dans un contexte clinique tel que l’hôpital, le centre de rééducation, la clinique privée, etc.</w:t>
      </w:r>
    </w:p>
    <w:p w:rsidR="00A32681" w:rsidRDefault="00A32681" w:rsidP="00EB4BE4">
      <w:pPr>
        <w:pStyle w:val="Paragraphedeliste"/>
        <w:numPr>
          <w:ilvl w:val="0"/>
          <w:numId w:val="1"/>
        </w:numPr>
        <w:jc w:val="both"/>
        <w:rPr>
          <w:rFonts w:cstheme="minorHAnsi"/>
          <w:sz w:val="20"/>
          <w:szCs w:val="20"/>
        </w:rPr>
      </w:pPr>
      <w:r>
        <w:rPr>
          <w:rFonts w:cstheme="minorHAnsi"/>
          <w:sz w:val="20"/>
          <w:szCs w:val="20"/>
        </w:rPr>
        <w:t>Avoir participé précédemment à une recherche clinique est un plus, sans pour autant que ce soit nécessaire à la candidature</w:t>
      </w:r>
    </w:p>
    <w:p w:rsidR="00A32681" w:rsidRDefault="00A32681" w:rsidP="00EB4BE4">
      <w:pPr>
        <w:pStyle w:val="Paragraphedeliste"/>
        <w:numPr>
          <w:ilvl w:val="0"/>
          <w:numId w:val="1"/>
        </w:numPr>
        <w:jc w:val="both"/>
        <w:rPr>
          <w:rFonts w:cstheme="minorHAnsi"/>
          <w:sz w:val="20"/>
          <w:szCs w:val="20"/>
        </w:rPr>
      </w:pPr>
      <w:r>
        <w:rPr>
          <w:rFonts w:cstheme="minorHAnsi"/>
          <w:sz w:val="20"/>
          <w:szCs w:val="20"/>
        </w:rPr>
        <w:t>Le profil recherché est d’avantage clinique qu’ingénieur mais une connaissance de la programmation ou des bio-statistiques est également un plus</w:t>
      </w:r>
    </w:p>
    <w:p w:rsidR="00A32681" w:rsidRDefault="00A32681" w:rsidP="00A32681">
      <w:pPr>
        <w:pStyle w:val="Paragraphedeliste"/>
        <w:numPr>
          <w:ilvl w:val="0"/>
          <w:numId w:val="1"/>
        </w:numPr>
        <w:jc w:val="both"/>
        <w:rPr>
          <w:rFonts w:cstheme="minorHAnsi"/>
          <w:sz w:val="20"/>
          <w:szCs w:val="20"/>
        </w:rPr>
      </w:pPr>
      <w:r>
        <w:rPr>
          <w:rFonts w:cstheme="minorHAnsi"/>
          <w:sz w:val="20"/>
          <w:szCs w:val="20"/>
        </w:rPr>
        <w:t>Un niveau C2 ou B1 minimum en Anglais est attendu</w:t>
      </w:r>
    </w:p>
    <w:p w:rsidR="00A32681" w:rsidRDefault="00A32681" w:rsidP="00A32681">
      <w:pPr>
        <w:pStyle w:val="Paragraphedeliste"/>
        <w:numPr>
          <w:ilvl w:val="0"/>
          <w:numId w:val="1"/>
        </w:numPr>
        <w:jc w:val="both"/>
        <w:rPr>
          <w:rFonts w:cstheme="minorHAnsi"/>
          <w:sz w:val="20"/>
          <w:szCs w:val="20"/>
        </w:rPr>
      </w:pPr>
      <w:r>
        <w:rPr>
          <w:rFonts w:cstheme="minorHAnsi"/>
          <w:sz w:val="20"/>
          <w:szCs w:val="20"/>
        </w:rPr>
        <w:t>Permis B</w:t>
      </w:r>
    </w:p>
    <w:p w:rsidR="00497783" w:rsidRDefault="00A32681" w:rsidP="00497783">
      <w:pPr>
        <w:pStyle w:val="Paragraphedeliste"/>
        <w:numPr>
          <w:ilvl w:val="0"/>
          <w:numId w:val="1"/>
        </w:numPr>
        <w:jc w:val="both"/>
        <w:rPr>
          <w:rFonts w:cstheme="minorHAnsi"/>
          <w:sz w:val="20"/>
          <w:szCs w:val="20"/>
        </w:rPr>
      </w:pPr>
      <w:r>
        <w:rPr>
          <w:rFonts w:cstheme="minorHAnsi"/>
          <w:sz w:val="20"/>
          <w:szCs w:val="20"/>
        </w:rPr>
        <w:t xml:space="preserve">Vous faites preuve de rigueur dans votre travail et vous êtes de </w:t>
      </w:r>
      <w:r w:rsidR="00991119">
        <w:rPr>
          <w:rFonts w:cstheme="minorHAnsi"/>
          <w:sz w:val="20"/>
          <w:szCs w:val="20"/>
        </w:rPr>
        <w:t>nature curieuse. Vous avez développé</w:t>
      </w:r>
      <w:r>
        <w:rPr>
          <w:rFonts w:cstheme="minorHAnsi"/>
          <w:sz w:val="20"/>
          <w:szCs w:val="20"/>
        </w:rPr>
        <w:t xml:space="preserve"> des compétences interpersonnelles fortes vous permettant aujourd’hui de vous inscrire dans une équipe hautement </w:t>
      </w:r>
      <w:r w:rsidR="00991119">
        <w:rPr>
          <w:rFonts w:cstheme="minorHAnsi"/>
          <w:sz w:val="20"/>
          <w:szCs w:val="20"/>
        </w:rPr>
        <w:t>multidisciplinaire et flexi</w:t>
      </w:r>
      <w:r w:rsidR="00497783">
        <w:rPr>
          <w:rFonts w:cstheme="minorHAnsi"/>
          <w:sz w:val="20"/>
          <w:szCs w:val="20"/>
        </w:rPr>
        <w:t>ble.</w:t>
      </w:r>
    </w:p>
    <w:p w:rsidR="00497783" w:rsidRPr="00497783" w:rsidRDefault="00497783" w:rsidP="00F11380">
      <w:pPr>
        <w:jc w:val="both"/>
        <w:rPr>
          <w:rFonts w:cstheme="minorHAnsi"/>
          <w:i/>
          <w:sz w:val="20"/>
          <w:szCs w:val="20"/>
        </w:rPr>
      </w:pPr>
      <w:bookmarkStart w:id="0" w:name="_GoBack"/>
      <w:bookmarkEnd w:id="0"/>
      <w:r w:rsidRPr="00497783">
        <w:rPr>
          <w:rFonts w:cstheme="minorHAnsi"/>
          <w:b/>
          <w:sz w:val="20"/>
          <w:szCs w:val="20"/>
        </w:rPr>
        <w:t xml:space="preserve">Merci d’envoyer votre CV et lettre de motivation à </w:t>
      </w:r>
      <w:hyperlink r:id="rId5" w:history="1">
        <w:r w:rsidRPr="00497783">
          <w:rPr>
            <w:rStyle w:val="Lienhypertexte"/>
            <w:rFonts w:cstheme="minorHAnsi"/>
            <w:b/>
            <w:sz w:val="20"/>
            <w:szCs w:val="20"/>
          </w:rPr>
          <w:t>f.quijoux@orpea.net</w:t>
        </w:r>
      </w:hyperlink>
      <w:r w:rsidRPr="00497783">
        <w:rPr>
          <w:rFonts w:cstheme="minorHAnsi"/>
          <w:b/>
          <w:sz w:val="20"/>
          <w:szCs w:val="20"/>
        </w:rPr>
        <w:t xml:space="preserve"> avec l’objet de courriel suivant :  </w:t>
      </w:r>
      <w:r>
        <w:rPr>
          <w:rFonts w:cstheme="minorHAnsi"/>
          <w:i/>
          <w:sz w:val="20"/>
          <w:szCs w:val="20"/>
        </w:rPr>
        <w:t>Candidature PR</w:t>
      </w:r>
      <w:r w:rsidRPr="00497783">
        <w:rPr>
          <w:rFonts w:cstheme="minorHAnsi"/>
          <w:i/>
          <w:sz w:val="20"/>
          <w:szCs w:val="20"/>
        </w:rPr>
        <w:t>-PhD</w:t>
      </w:r>
    </w:p>
    <w:sectPr w:rsidR="00497783" w:rsidRPr="00497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96914"/>
    <w:multiLevelType w:val="hybridMultilevel"/>
    <w:tmpl w:val="E79000AE"/>
    <w:lvl w:ilvl="0" w:tplc="34CC0458">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F8"/>
    <w:rsid w:val="000D208A"/>
    <w:rsid w:val="00180C35"/>
    <w:rsid w:val="002012E6"/>
    <w:rsid w:val="00425925"/>
    <w:rsid w:val="00497783"/>
    <w:rsid w:val="005158F8"/>
    <w:rsid w:val="00692A85"/>
    <w:rsid w:val="007E1FFB"/>
    <w:rsid w:val="008D0499"/>
    <w:rsid w:val="008F1B8F"/>
    <w:rsid w:val="008F4209"/>
    <w:rsid w:val="00965FE5"/>
    <w:rsid w:val="009775ED"/>
    <w:rsid w:val="00991119"/>
    <w:rsid w:val="00A32681"/>
    <w:rsid w:val="00A75697"/>
    <w:rsid w:val="00AE3D76"/>
    <w:rsid w:val="00EB4BE4"/>
    <w:rsid w:val="00F02979"/>
    <w:rsid w:val="00F11380"/>
    <w:rsid w:val="00F8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9351"/>
  <w15:chartTrackingRefBased/>
  <w15:docId w15:val="{9CC3CC66-92C9-44EA-B37E-8A1F08AE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15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58F8"/>
    <w:rPr>
      <w:rFonts w:asciiTheme="majorHAnsi" w:eastAsiaTheme="majorEastAsia" w:hAnsiTheme="majorHAnsi" w:cstheme="majorBidi"/>
      <w:color w:val="2E74B5" w:themeColor="accent1" w:themeShade="BF"/>
      <w:sz w:val="32"/>
      <w:szCs w:val="32"/>
    </w:rPr>
  </w:style>
  <w:style w:type="paragraph" w:styleId="Commentaire">
    <w:name w:val="annotation text"/>
    <w:basedOn w:val="Normal"/>
    <w:link w:val="CommentaireCar"/>
    <w:semiHidden/>
    <w:rsid w:val="00965FE5"/>
    <w:pPr>
      <w:suppressAutoHyphens/>
      <w:spacing w:after="0" w:line="240" w:lineRule="auto"/>
    </w:pPr>
    <w:rPr>
      <w:rFonts w:ascii="Times New Roman" w:eastAsia="Times New Roman" w:hAnsi="Times New Roman" w:cs="Times New Roman"/>
      <w:sz w:val="24"/>
      <w:szCs w:val="20"/>
      <w:lang w:eastAsia="ar-SA"/>
    </w:rPr>
  </w:style>
  <w:style w:type="character" w:customStyle="1" w:styleId="CommentaireCar">
    <w:name w:val="Commentaire Car"/>
    <w:basedOn w:val="Policepardfaut"/>
    <w:link w:val="Commentaire"/>
    <w:semiHidden/>
    <w:rsid w:val="00965FE5"/>
    <w:rPr>
      <w:rFonts w:ascii="Times New Roman" w:eastAsia="Times New Roman" w:hAnsi="Times New Roman" w:cs="Times New Roman"/>
      <w:sz w:val="24"/>
      <w:szCs w:val="20"/>
      <w:lang w:eastAsia="ar-SA"/>
    </w:rPr>
  </w:style>
  <w:style w:type="table" w:styleId="Grilledutableau">
    <w:name w:val="Table Grid"/>
    <w:basedOn w:val="TableauNormal"/>
    <w:uiPriority w:val="39"/>
    <w:rsid w:val="0096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B4BE4"/>
    <w:pPr>
      <w:ind w:left="720"/>
      <w:contextualSpacing/>
    </w:pPr>
  </w:style>
  <w:style w:type="character" w:styleId="Lienhypertexte">
    <w:name w:val="Hyperlink"/>
    <w:basedOn w:val="Policepardfaut"/>
    <w:uiPriority w:val="99"/>
    <w:unhideWhenUsed/>
    <w:rsid w:val="00497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quijoux@orpea.n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1536</TotalTime>
  <Pages>3</Pages>
  <Words>2224</Words>
  <Characters>12236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Orpea</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Flavien QUIJOUX</dc:creator>
  <cp:keywords/>
  <dc:description/>
  <cp:lastModifiedBy>Flavien QUIJOUX</cp:lastModifiedBy>
  <cp:revision>8</cp:revision>
  <dcterms:created xsi:type="dcterms:W3CDTF">2021-05-03T08:24:00Z</dcterms:created>
  <dcterms:modified xsi:type="dcterms:W3CDTF">2021-06-18T08:59:00Z</dcterms:modified>
</cp:coreProperties>
</file>